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DA" w:rsidRPr="00826889" w:rsidRDefault="008143DA" w:rsidP="008143DA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1011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  <w:b/>
        </w:rPr>
        <w:tab/>
      </w:r>
      <w:proofErr w:type="gramEnd"/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</w:rPr>
        <w:t xml:space="preserve"> августа 2022</w:t>
      </w:r>
      <w:r w:rsidRPr="00512F15">
        <w:rPr>
          <w:rFonts w:ascii="Bookman Old Style" w:hAnsi="Bookman Old Style"/>
          <w:b/>
        </w:rPr>
        <w:t xml:space="preserve"> г.</w:t>
      </w:r>
    </w:p>
    <w:p w:rsidR="008143DA" w:rsidRDefault="008143DA" w:rsidP="008143D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C55706F" wp14:editId="34C7147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43DA" w:rsidRDefault="008143DA" w:rsidP="008143D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55706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8143DA" w:rsidRDefault="008143DA" w:rsidP="008143D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143DA" w:rsidRDefault="008143DA" w:rsidP="008143D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143DA" w:rsidRDefault="008143DA" w:rsidP="008143D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8143DA" w:rsidRPr="004B188F" w:rsidRDefault="008143DA" w:rsidP="008143DA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9C1CC" wp14:editId="783C8666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1DD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8143DA" w:rsidRPr="00F2021C" w:rsidRDefault="008143DA" w:rsidP="008143DA"/>
    <w:p w:rsidR="008143DA" w:rsidRDefault="008143DA" w:rsidP="008143DA">
      <w:pPr>
        <w:jc w:val="center"/>
      </w:pPr>
    </w:p>
    <w:p w:rsidR="000F55E0" w:rsidRPr="000F55E0" w:rsidRDefault="000F55E0" w:rsidP="000F55E0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0F55E0">
        <w:rPr>
          <w:b/>
          <w:u w:val="single"/>
        </w:rPr>
        <w:t>Минимальный размер оплаты труда.</w:t>
      </w:r>
    </w:p>
    <w:p w:rsidR="000F55E0" w:rsidRPr="000F55E0" w:rsidRDefault="000F55E0" w:rsidP="000F55E0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</w:p>
    <w:p w:rsidR="000F55E0" w:rsidRPr="000F55E0" w:rsidRDefault="000F55E0" w:rsidP="000F55E0">
      <w:pPr>
        <w:autoSpaceDE w:val="0"/>
        <w:autoSpaceDN w:val="0"/>
        <w:adjustRightInd w:val="0"/>
        <w:ind w:firstLine="708"/>
        <w:jc w:val="both"/>
      </w:pPr>
      <w:r w:rsidRPr="000F55E0">
        <w:rPr>
          <w:u w:val="single"/>
        </w:rPr>
        <w:t>Минимальный размер оплаты труда (МРОТ)</w:t>
      </w:r>
      <w:r w:rsidRPr="000F55E0">
        <w:t xml:space="preserve"> - это законодательно установленный минимум оплаты труда в месяц. </w:t>
      </w:r>
    </w:p>
    <w:p w:rsidR="000F55E0" w:rsidRPr="000F55E0" w:rsidRDefault="000F55E0" w:rsidP="000F55E0">
      <w:pPr>
        <w:autoSpaceDE w:val="0"/>
        <w:autoSpaceDN w:val="0"/>
        <w:adjustRightInd w:val="0"/>
        <w:ind w:firstLine="708"/>
        <w:jc w:val="both"/>
      </w:pPr>
      <w:r w:rsidRPr="000F55E0">
        <w:t xml:space="preserve">Месячная заработная плата работника, полностью отработавшего за этот период норму рабочего времени и выполнившего </w:t>
      </w:r>
      <w:hyperlink r:id="rId4" w:history="1">
        <w:r w:rsidRPr="000F55E0">
          <w:t>нормы труда</w:t>
        </w:r>
      </w:hyperlink>
      <w:r w:rsidRPr="000F55E0">
        <w:t xml:space="preserve"> (трудовые обязанности), не может быть ниже МРОТ (ст. 133 Трудового кодекса Российской Федерации).</w:t>
      </w:r>
    </w:p>
    <w:p w:rsidR="000F55E0" w:rsidRPr="000F55E0" w:rsidRDefault="000F55E0" w:rsidP="000F55E0">
      <w:pPr>
        <w:autoSpaceDE w:val="0"/>
        <w:autoSpaceDN w:val="0"/>
        <w:adjustRightInd w:val="0"/>
        <w:ind w:firstLine="708"/>
        <w:jc w:val="both"/>
      </w:pPr>
      <w:hyperlink r:id="rId5" w:history="1">
        <w:r w:rsidRPr="000F55E0">
          <w:t>МРОТ</w:t>
        </w:r>
      </w:hyperlink>
      <w:r w:rsidRPr="000F55E0">
        <w:t xml:space="preserve">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 (</w:t>
      </w:r>
      <w:hyperlink r:id="rId6" w:history="1">
        <w:r w:rsidRPr="000F55E0">
          <w:t>статья 3</w:t>
        </w:r>
      </w:hyperlink>
      <w:r w:rsidRPr="000F55E0">
        <w:t xml:space="preserve"> Федерального закона от 19.06.2000 N 82-ФЗ).</w:t>
      </w:r>
    </w:p>
    <w:p w:rsidR="000F55E0" w:rsidRPr="000F55E0" w:rsidRDefault="000F55E0" w:rsidP="000F55E0">
      <w:pPr>
        <w:autoSpaceDE w:val="0"/>
        <w:autoSpaceDN w:val="0"/>
        <w:adjustRightInd w:val="0"/>
        <w:ind w:firstLine="540"/>
        <w:jc w:val="both"/>
      </w:pPr>
    </w:p>
    <w:p w:rsidR="000F55E0" w:rsidRPr="000F55E0" w:rsidRDefault="000F55E0" w:rsidP="000F55E0">
      <w:pPr>
        <w:autoSpaceDE w:val="0"/>
        <w:autoSpaceDN w:val="0"/>
        <w:adjustRightInd w:val="0"/>
        <w:ind w:firstLine="708"/>
        <w:jc w:val="both"/>
      </w:pPr>
      <w:r w:rsidRPr="000F55E0">
        <w:rPr>
          <w:b/>
        </w:rPr>
        <w:t>С 1 июня 2022 года МРОТ в РФ - 15279 руб.</w:t>
      </w:r>
      <w:r w:rsidRPr="000F55E0">
        <w:t xml:space="preserve"> (</w:t>
      </w:r>
      <w:hyperlink r:id="rId7" w:history="1">
        <w:r w:rsidRPr="000F55E0">
          <w:t>статья 1</w:t>
        </w:r>
      </w:hyperlink>
      <w:r w:rsidRPr="000F55E0">
        <w:t xml:space="preserve"> Федерального закона от 19.06.2000 N 82-ФЗ, </w:t>
      </w:r>
      <w:hyperlink r:id="rId8" w:history="1">
        <w:r w:rsidRPr="000F55E0">
          <w:t>Постановление</w:t>
        </w:r>
      </w:hyperlink>
      <w:r w:rsidRPr="000F55E0">
        <w:t xml:space="preserve"> Правительства РФ от 28.05.2022 N 973).</w:t>
      </w:r>
    </w:p>
    <w:p w:rsidR="000F55E0" w:rsidRPr="000F55E0" w:rsidRDefault="000F55E0" w:rsidP="000F55E0">
      <w:pPr>
        <w:autoSpaceDE w:val="0"/>
        <w:autoSpaceDN w:val="0"/>
        <w:adjustRightInd w:val="0"/>
        <w:ind w:firstLine="540"/>
        <w:jc w:val="both"/>
      </w:pPr>
    </w:p>
    <w:p w:rsidR="000F55E0" w:rsidRPr="000F55E0" w:rsidRDefault="000F55E0" w:rsidP="000F55E0">
      <w:pPr>
        <w:ind w:firstLine="709"/>
        <w:jc w:val="both"/>
        <w:rPr>
          <w:shd w:val="clear" w:color="auto" w:fill="FFFFFF"/>
        </w:rPr>
      </w:pPr>
      <w:r w:rsidRPr="000F55E0">
        <w:rPr>
          <w:shd w:val="clear" w:color="auto" w:fill="FFFFFF"/>
        </w:rPr>
        <w:t xml:space="preserve">Величина МРОТ в Красноярском крае регулируется Федеральным Закон РФ «О минимальном размере оплаты труда» от 19 июня 2000 года № 82-ФЗ. С учетом районного коэффициента и северных надбавок, величина МРОТ в Енисейском районе </w:t>
      </w:r>
      <w:r w:rsidRPr="000F55E0">
        <w:rPr>
          <w:b/>
          <w:u w:val="single"/>
          <w:shd w:val="clear" w:color="auto" w:fill="FFFFFF"/>
        </w:rPr>
        <w:t>с 1 июня 2022 года составляет 27 503 рубля.</w:t>
      </w:r>
    </w:p>
    <w:p w:rsidR="000F55E0" w:rsidRPr="000F55E0" w:rsidRDefault="000F55E0" w:rsidP="000F55E0">
      <w:pPr>
        <w:rPr>
          <w:b/>
          <w:u w:val="single"/>
          <w:shd w:val="clear" w:color="auto" w:fill="FFFFFF"/>
        </w:rPr>
      </w:pPr>
    </w:p>
    <w:p w:rsidR="000F55E0" w:rsidRPr="000F55E0" w:rsidRDefault="000F55E0" w:rsidP="000F55E0">
      <w:pPr>
        <w:shd w:val="clear" w:color="auto" w:fill="FFFFFF"/>
        <w:ind w:firstLine="708"/>
        <w:jc w:val="both"/>
        <w:rPr>
          <w:color w:val="222222"/>
        </w:rPr>
      </w:pPr>
      <w:r w:rsidRPr="000F55E0">
        <w:rPr>
          <w:color w:val="222222"/>
        </w:rPr>
        <w:t>Заработная плата включает в себя кроме оклада компенсационные выплаты, различные надбавки и стимулирующие выплаты (</w:t>
      </w:r>
      <w:hyperlink r:id="rId9" w:anchor="h5296" w:tgtFrame="_blank" w:history="1">
        <w:r w:rsidRPr="000F55E0">
          <w:t>ст. 129 ТК РФ</w:t>
        </w:r>
      </w:hyperlink>
      <w:r w:rsidRPr="000F55E0">
        <w:t xml:space="preserve">). </w:t>
      </w:r>
      <w:r w:rsidRPr="000F55E0">
        <w:rPr>
          <w:color w:val="222222"/>
        </w:rPr>
        <w:t>Таким образом, с учетом всех надбавок к окладу или поощрений работник получает сумму, большую или равную МРОТ. Если зарплата работника все-таки меньше установленного минимального размера оплаты труда, работодателю необходимо произвести доплату до величины МРОТ.</w:t>
      </w:r>
    </w:p>
    <w:p w:rsidR="000F55E0" w:rsidRPr="000F55E0" w:rsidRDefault="000F55E0" w:rsidP="000F55E0">
      <w:pPr>
        <w:shd w:val="clear" w:color="auto" w:fill="FFFFFF"/>
        <w:jc w:val="both"/>
        <w:rPr>
          <w:shd w:val="clear" w:color="auto" w:fill="FFFFFF"/>
        </w:rPr>
      </w:pPr>
      <w:r w:rsidRPr="000F55E0">
        <w:rPr>
          <w:shd w:val="clear" w:color="auto" w:fill="FFFFFF"/>
        </w:rPr>
        <w:tab/>
        <w:t xml:space="preserve">Стоит отметить, что требования трудового законодательства распространяются не только на трудовые отношения по основному месту работы, а </w:t>
      </w:r>
      <w:proofErr w:type="gramStart"/>
      <w:r w:rsidRPr="000F55E0">
        <w:rPr>
          <w:shd w:val="clear" w:color="auto" w:fill="FFFFFF"/>
        </w:rPr>
        <w:t>так же</w:t>
      </w:r>
      <w:proofErr w:type="gramEnd"/>
      <w:r w:rsidRPr="000F55E0">
        <w:rPr>
          <w:shd w:val="clear" w:color="auto" w:fill="FFFFFF"/>
        </w:rPr>
        <w:t xml:space="preserve"> на работников осуществляющих трудовую деятельность в режиме неполной занятости и по совместительству:</w:t>
      </w:r>
    </w:p>
    <w:p w:rsidR="000F55E0" w:rsidRPr="000F55E0" w:rsidRDefault="000F55E0" w:rsidP="000F55E0">
      <w:pPr>
        <w:autoSpaceDE w:val="0"/>
        <w:autoSpaceDN w:val="0"/>
        <w:adjustRightInd w:val="0"/>
        <w:ind w:firstLine="708"/>
        <w:jc w:val="both"/>
      </w:pPr>
      <w:r w:rsidRPr="000F55E0">
        <w:rPr>
          <w:b/>
          <w:shd w:val="clear" w:color="auto" w:fill="FFFFFF"/>
        </w:rPr>
        <w:t xml:space="preserve">1.Неполное рабочее время. </w:t>
      </w:r>
      <w:r w:rsidRPr="000F55E0">
        <w:t xml:space="preserve">Статья 93 ТК РФ разрешает работодателю оплачивать ниже МРОТ труд в режиме частичной занятости. Это </w:t>
      </w:r>
      <w:proofErr w:type="gramStart"/>
      <w:r w:rsidRPr="000F55E0">
        <w:t>может быть</w:t>
      </w:r>
      <w:proofErr w:type="gramEnd"/>
      <w:r w:rsidRPr="000F55E0">
        <w:t xml:space="preserve"> как обычная работа в уменьшенном объеме, так и деятельность отдельных категорий работников, которым Трудовой кодекс разрешает использовать режим неполного рабочего времени (несовершеннолетние; беременные; ухаживающие за больными членами семьи; родители ребенка-инвалида в возрасте до 14 лет).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0F55E0" w:rsidRPr="000F55E0" w:rsidRDefault="000F55E0" w:rsidP="000F55E0">
      <w:pPr>
        <w:ind w:firstLine="708"/>
        <w:jc w:val="both"/>
        <w:rPr>
          <w:b/>
          <w:bCs/>
        </w:rPr>
      </w:pPr>
      <w:r w:rsidRPr="000F55E0">
        <w:rPr>
          <w:b/>
        </w:rPr>
        <w:lastRenderedPageBreak/>
        <w:t xml:space="preserve">2.Совместительство. </w:t>
      </w:r>
      <w:r w:rsidRPr="000F55E0">
        <w:t xml:space="preserve">Согласно статье 285 ТК РФ </w:t>
      </w:r>
      <w:r w:rsidRPr="000F55E0">
        <w:rPr>
          <w:bCs/>
        </w:rPr>
        <w:t>оплата труда лиц, работающих по совместительству, производится пропорционально отработанному времени, в зависимости от выработки либо на других условиях, определенных трудовым договором.</w:t>
      </w:r>
    </w:p>
    <w:p w:rsidR="000F55E0" w:rsidRPr="000F55E0" w:rsidRDefault="000F55E0" w:rsidP="000F55E0">
      <w:pPr>
        <w:ind w:firstLine="708"/>
        <w:jc w:val="both"/>
      </w:pPr>
      <w:r w:rsidRPr="000F55E0">
        <w:t xml:space="preserve">Минимальный размер оплаты труда используется в регулировании трудовых отношений. Работодатели любой формы </w:t>
      </w:r>
      <w:proofErr w:type="gramStart"/>
      <w:r w:rsidRPr="000F55E0">
        <w:t>собственности  не</w:t>
      </w:r>
      <w:proofErr w:type="gramEnd"/>
      <w:r w:rsidRPr="000F55E0">
        <w:t xml:space="preserve"> вправе платить зарплату ниже минимального установленного законом уровня. Если работодатель выплачивает заработную плату ниже МРОТ, то при обнаружении данного факта работодателю грозит штраф (ч.6 ст.5.27 КоАП РФ):</w:t>
      </w:r>
    </w:p>
    <w:p w:rsidR="000F55E0" w:rsidRPr="000F55E0" w:rsidRDefault="000F55E0" w:rsidP="000F55E0">
      <w:pPr>
        <w:jc w:val="both"/>
      </w:pPr>
      <w:r w:rsidRPr="000F55E0">
        <w:tab/>
        <w:t>- если работодатель – юридическое лицо, то в размере от 30 000 руб. до 50 000 руб. для самой организации и от 10 000 руб. до 20 000 руб. для ее должностных лиц;</w:t>
      </w:r>
    </w:p>
    <w:p w:rsidR="000F55E0" w:rsidRPr="000F55E0" w:rsidRDefault="000F55E0" w:rsidP="000F55E0">
      <w:pPr>
        <w:jc w:val="both"/>
      </w:pPr>
      <w:r w:rsidRPr="000F55E0">
        <w:tab/>
        <w:t>- если работодатель – ИП, то в размере от 1 000 руб. до 5 000 руб.</w:t>
      </w:r>
    </w:p>
    <w:p w:rsidR="000F55E0" w:rsidRPr="000F55E0" w:rsidRDefault="000F55E0" w:rsidP="000F55E0">
      <w:r w:rsidRPr="000F55E0">
        <w:tab/>
        <w:t>За повторное нарушение штраф:</w:t>
      </w:r>
    </w:p>
    <w:p w:rsidR="000F55E0" w:rsidRPr="000F55E0" w:rsidRDefault="000F55E0" w:rsidP="000F55E0">
      <w:pPr>
        <w:ind w:firstLine="708"/>
        <w:jc w:val="both"/>
      </w:pPr>
      <w:r w:rsidRPr="000F55E0">
        <w:t>- на должностных лиц от 20 000 руб. до 30 000 руб. или дисквалификацию на срок от одного года до трех лет;</w:t>
      </w:r>
    </w:p>
    <w:p w:rsidR="000F55E0" w:rsidRPr="000F55E0" w:rsidRDefault="000F55E0" w:rsidP="000F55E0">
      <w:pPr>
        <w:ind w:firstLine="708"/>
      </w:pPr>
      <w:r w:rsidRPr="000F55E0">
        <w:t>- на юридических лиц – от 50 000 руб. до 100 000 руб.;</w:t>
      </w:r>
    </w:p>
    <w:p w:rsidR="000F55E0" w:rsidRPr="000F55E0" w:rsidRDefault="000F55E0" w:rsidP="000F55E0">
      <w:pPr>
        <w:ind w:firstLine="708"/>
      </w:pPr>
      <w:r w:rsidRPr="000F55E0">
        <w:t>- на ИП – от 10 000 руб. до 30 000 руб.</w:t>
      </w:r>
    </w:p>
    <w:p w:rsidR="000F55E0" w:rsidRPr="000F55E0" w:rsidRDefault="000F55E0" w:rsidP="000F55E0">
      <w:r w:rsidRPr="000F55E0">
        <w:tab/>
      </w:r>
    </w:p>
    <w:p w:rsidR="000F55E0" w:rsidRPr="000F55E0" w:rsidRDefault="000F55E0" w:rsidP="000F55E0">
      <w:pPr>
        <w:ind w:firstLine="708"/>
        <w:jc w:val="both"/>
        <w:rPr>
          <w:b/>
        </w:rPr>
      </w:pPr>
      <w:r w:rsidRPr="000F55E0">
        <w:rPr>
          <w:b/>
        </w:rPr>
        <w:t xml:space="preserve">Если нарушаются Ваши трудовые права, Вы можете </w:t>
      </w:r>
      <w:proofErr w:type="gramStart"/>
      <w:r w:rsidRPr="000F55E0">
        <w:rPr>
          <w:b/>
        </w:rPr>
        <w:t>обратиться  на</w:t>
      </w:r>
      <w:proofErr w:type="gramEnd"/>
      <w:r w:rsidRPr="000F55E0">
        <w:rPr>
          <w:b/>
        </w:rPr>
        <w:t xml:space="preserve"> «горячую линию»: </w:t>
      </w:r>
    </w:p>
    <w:p w:rsidR="000F55E0" w:rsidRPr="000F55E0" w:rsidRDefault="000F55E0" w:rsidP="000F55E0">
      <w:pPr>
        <w:ind w:firstLine="708"/>
        <w:jc w:val="both"/>
        <w:rPr>
          <w:b/>
        </w:rPr>
      </w:pPr>
    </w:p>
    <w:p w:rsidR="000F55E0" w:rsidRPr="000F55E0" w:rsidRDefault="000F55E0" w:rsidP="000F55E0">
      <w:pPr>
        <w:jc w:val="both"/>
        <w:rPr>
          <w:b/>
        </w:rPr>
      </w:pPr>
      <w:r w:rsidRPr="000F55E0">
        <w:rPr>
          <w:b/>
        </w:rPr>
        <w:t>- 8(39195)2-80-11- администрация Енисейского района с 09.00 до 17.00(в будние дни);</w:t>
      </w:r>
    </w:p>
    <w:p w:rsidR="000F55E0" w:rsidRPr="000F55E0" w:rsidRDefault="000F55E0" w:rsidP="000F55E0">
      <w:pPr>
        <w:jc w:val="both"/>
        <w:rPr>
          <w:b/>
        </w:rPr>
      </w:pPr>
    </w:p>
    <w:p w:rsidR="000F55E0" w:rsidRPr="000F55E0" w:rsidRDefault="000F55E0" w:rsidP="000F55E0">
      <w:pPr>
        <w:jc w:val="both"/>
        <w:rPr>
          <w:b/>
        </w:rPr>
      </w:pPr>
      <w:r w:rsidRPr="000F55E0">
        <w:rPr>
          <w:b/>
        </w:rPr>
        <w:t>-</w:t>
      </w:r>
      <w:r w:rsidRPr="000F55E0">
        <w:t xml:space="preserve"> </w:t>
      </w:r>
      <w:r w:rsidRPr="000F55E0">
        <w:rPr>
          <w:b/>
        </w:rPr>
        <w:t>8 (913) 836-05-</w:t>
      </w:r>
      <w:proofErr w:type="gramStart"/>
      <w:r w:rsidRPr="000F55E0">
        <w:rPr>
          <w:b/>
        </w:rPr>
        <w:t>00  с</w:t>
      </w:r>
      <w:proofErr w:type="gramEnd"/>
      <w:r w:rsidRPr="000F55E0">
        <w:rPr>
          <w:b/>
        </w:rPr>
        <w:t xml:space="preserve"> 09.00 до 21.00 Государственная инспекция труда в Красноярском крае (660059, г. Красноярск, ул. Семафорная, д. 433/2);</w:t>
      </w:r>
    </w:p>
    <w:p w:rsidR="000F55E0" w:rsidRPr="000F55E0" w:rsidRDefault="000F55E0" w:rsidP="000F55E0">
      <w:pPr>
        <w:jc w:val="both"/>
        <w:rPr>
          <w:b/>
        </w:rPr>
      </w:pPr>
    </w:p>
    <w:p w:rsidR="000F55E0" w:rsidRPr="000F55E0" w:rsidRDefault="000F55E0" w:rsidP="000F55E0">
      <w:pPr>
        <w:jc w:val="both"/>
        <w:rPr>
          <w:b/>
        </w:rPr>
      </w:pPr>
      <w:r w:rsidRPr="000F55E0">
        <w:rPr>
          <w:b/>
        </w:rPr>
        <w:t xml:space="preserve">- 8(39145)5-37-73 - Управление Пенсионного Фонда Российской Федерации (государственное учреждение) в г. </w:t>
      </w:r>
      <w:proofErr w:type="spellStart"/>
      <w:r w:rsidRPr="000F55E0">
        <w:rPr>
          <w:b/>
        </w:rPr>
        <w:t>Лесосибирске</w:t>
      </w:r>
      <w:proofErr w:type="spellEnd"/>
      <w:r w:rsidRPr="000F55E0">
        <w:rPr>
          <w:b/>
        </w:rPr>
        <w:t xml:space="preserve"> Красноярского края (межрайонное);</w:t>
      </w:r>
    </w:p>
    <w:p w:rsidR="000F55E0" w:rsidRPr="000F55E0" w:rsidRDefault="000F55E0" w:rsidP="000F55E0">
      <w:pPr>
        <w:jc w:val="both"/>
        <w:rPr>
          <w:b/>
        </w:rPr>
      </w:pPr>
    </w:p>
    <w:p w:rsidR="000F55E0" w:rsidRPr="000F55E0" w:rsidRDefault="000F55E0" w:rsidP="000F55E0">
      <w:pPr>
        <w:jc w:val="both"/>
      </w:pPr>
      <w:r w:rsidRPr="000F55E0">
        <w:rPr>
          <w:b/>
        </w:rPr>
        <w:t xml:space="preserve">- </w:t>
      </w:r>
      <w:r w:rsidRPr="000F55E0">
        <w:rPr>
          <w:b/>
          <w:shd w:val="clear" w:color="auto" w:fill="FFFFFF"/>
        </w:rPr>
        <w:t>8 (39145) 5-26-33</w:t>
      </w:r>
      <w:r w:rsidRPr="000F55E0">
        <w:rPr>
          <w:b/>
        </w:rPr>
        <w:t xml:space="preserve"> - Межрайонная инспекция ФНС России №9 по Красноярскому краю.</w:t>
      </w:r>
    </w:p>
    <w:p w:rsidR="008143DA" w:rsidRPr="000F55E0" w:rsidRDefault="008143DA" w:rsidP="008143DA">
      <w:pPr>
        <w:jc w:val="center"/>
      </w:pPr>
    </w:p>
    <w:p w:rsidR="008143DA" w:rsidRDefault="008143DA" w:rsidP="008143DA">
      <w:pPr>
        <w:jc w:val="center"/>
      </w:pPr>
    </w:p>
    <w:p w:rsidR="008143DA" w:rsidRDefault="008143DA" w:rsidP="008143DA">
      <w:pPr>
        <w:jc w:val="center"/>
      </w:pPr>
    </w:p>
    <w:p w:rsidR="008143DA" w:rsidRDefault="008143DA" w:rsidP="008143DA">
      <w:pPr>
        <w:jc w:val="center"/>
      </w:pPr>
    </w:p>
    <w:p w:rsidR="008143DA" w:rsidRDefault="008143DA" w:rsidP="008143DA">
      <w:pPr>
        <w:jc w:val="center"/>
      </w:pPr>
    </w:p>
    <w:p w:rsidR="008143DA" w:rsidRDefault="008143DA" w:rsidP="008143DA">
      <w:pPr>
        <w:jc w:val="center"/>
      </w:pPr>
    </w:p>
    <w:p w:rsidR="008143DA" w:rsidRDefault="008143DA" w:rsidP="008143DA">
      <w:pPr>
        <w:jc w:val="center"/>
      </w:pPr>
    </w:p>
    <w:p w:rsidR="008143DA" w:rsidRDefault="008143DA" w:rsidP="008143DA">
      <w:pPr>
        <w:jc w:val="center"/>
      </w:pPr>
    </w:p>
    <w:p w:rsidR="008143DA" w:rsidRDefault="008143DA" w:rsidP="008143DA">
      <w:pPr>
        <w:jc w:val="center"/>
      </w:pPr>
    </w:p>
    <w:p w:rsidR="008143DA" w:rsidRDefault="008143DA" w:rsidP="008143DA">
      <w:pPr>
        <w:jc w:val="center"/>
      </w:pPr>
    </w:p>
    <w:p w:rsidR="008143DA" w:rsidRDefault="008143DA" w:rsidP="008143DA">
      <w:pPr>
        <w:jc w:val="center"/>
      </w:pPr>
    </w:p>
    <w:p w:rsidR="008143DA" w:rsidRDefault="008143DA" w:rsidP="008143DA">
      <w:pPr>
        <w:jc w:val="center"/>
      </w:pPr>
    </w:p>
    <w:p w:rsidR="008143DA" w:rsidRDefault="008143DA" w:rsidP="008143DA">
      <w:pPr>
        <w:jc w:val="center"/>
      </w:pPr>
    </w:p>
    <w:p w:rsidR="008143DA" w:rsidRDefault="008143DA" w:rsidP="008143DA">
      <w:pPr>
        <w:jc w:val="center"/>
      </w:pPr>
    </w:p>
    <w:p w:rsidR="008143DA" w:rsidRDefault="008143DA" w:rsidP="008143DA">
      <w:pPr>
        <w:jc w:val="center"/>
      </w:pPr>
    </w:p>
    <w:p w:rsidR="008143DA" w:rsidRDefault="008143DA" w:rsidP="008143DA">
      <w:pPr>
        <w:jc w:val="center"/>
      </w:pPr>
    </w:p>
    <w:p w:rsidR="008143DA" w:rsidRPr="00F2021C" w:rsidRDefault="008143DA" w:rsidP="008143DA">
      <w:pPr>
        <w:jc w:val="center"/>
      </w:pPr>
      <w:bookmarkStart w:id="0" w:name="_GoBack"/>
      <w:bookmarkEnd w:id="0"/>
    </w:p>
    <w:p w:rsidR="008143DA" w:rsidRPr="00F2021C" w:rsidRDefault="008143DA" w:rsidP="008143DA"/>
    <w:p w:rsidR="008143DA" w:rsidRDefault="008143DA" w:rsidP="008143DA">
      <w:pPr>
        <w:rPr>
          <w:rFonts w:ascii="Calibri" w:eastAsia="Calibri" w:hAnsi="Calibri"/>
          <w:sz w:val="22"/>
          <w:szCs w:val="22"/>
          <w:lang w:eastAsia="en-US"/>
        </w:rPr>
      </w:pPr>
    </w:p>
    <w:p w:rsidR="008143DA" w:rsidRPr="00D10B4D" w:rsidRDefault="008143DA" w:rsidP="008143DA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CE859" wp14:editId="356A6A6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B264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143DA" w:rsidRDefault="008143DA" w:rsidP="008143DA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143DA" w:rsidRDefault="008143DA" w:rsidP="008143DA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p w:rsidR="008143DA" w:rsidRDefault="008143DA" w:rsidP="008143DA"/>
    <w:p w:rsidR="00104F9F" w:rsidRDefault="00104F9F"/>
    <w:sectPr w:rsidR="0010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02"/>
    <w:rsid w:val="000F55E0"/>
    <w:rsid w:val="00104F9F"/>
    <w:rsid w:val="00246402"/>
    <w:rsid w:val="0081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9463C-AB5B-4FE7-A900-8F7FDDBB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3D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09FC4C9497FA4425AED2F48658B3FA554D057F33BA82BE552FB3DB2726C3824B025F690B29BED8DE245459B50B2EDBEF3F6696D64510F6c1A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09FC4C9497FA4425AED2F48658B3FA554C00733CB882BE552FB3DB2726C3824B025F690E22EA899D7A0D08F24023D3F223669CcCA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09FC4C9497FA4425AED2F48658B3FA554C00733CB882BE552FB3DB2726C3824B025F60007DEF9C8C22000BEF5E2BC5EE2164c9A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09FC4C9497FA4425AED2F48658B3FA5049037E3DB7DFB45D76BFD920299C874C135F680837BED0C72D000AcFA3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77FD4509F7015EC9753A0AC610B27DF286FE8C201AF694E96C4B395F845463950E1B49E93731282A895F0CF0O9CCE" TargetMode="External"/><Relationship Id="rId9" Type="http://schemas.openxmlformats.org/officeDocument/2006/relationships/hyperlink" Target="https://normativ.kontur.ru/document?moduleId=1&amp;documentId=415740&amp;p=1210&amp;utm_source=google&amp;utm_medium=organic&amp;utm_referer=www.google.com&amp;utm_startpage=kontur.ru%2Farticles%2F4948&amp;utm_orderpage=kontur.ru%2Farticles%2F4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2022-08-19T07:19:00Z</dcterms:created>
  <dcterms:modified xsi:type="dcterms:W3CDTF">2022-08-19T07:20:00Z</dcterms:modified>
</cp:coreProperties>
</file>