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5D" w:rsidRPr="00826889" w:rsidRDefault="008B235D" w:rsidP="008B235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11 марта  2022</w:t>
      </w:r>
      <w:r w:rsidRPr="00512F15">
        <w:rPr>
          <w:rFonts w:ascii="Bookman Old Style" w:hAnsi="Bookman Old Style"/>
          <w:b/>
        </w:rPr>
        <w:t xml:space="preserve"> г.</w:t>
      </w:r>
    </w:p>
    <w:p w:rsidR="008B235D" w:rsidRDefault="008B235D" w:rsidP="008B23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664FCBF" wp14:editId="0B40DFC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235D" w:rsidRDefault="008B235D" w:rsidP="008B235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64FC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B235D" w:rsidRDefault="008B235D" w:rsidP="008B235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235D" w:rsidRDefault="008B235D" w:rsidP="008B235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B235D" w:rsidRDefault="008B235D" w:rsidP="008B235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B235D" w:rsidRPr="003B4BB0" w:rsidRDefault="008B235D" w:rsidP="008B235D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1467" wp14:editId="537CA81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E3A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B235D" w:rsidRPr="00C93F9F" w:rsidRDefault="008B235D" w:rsidP="008B235D">
      <w:pPr>
        <w:jc w:val="center"/>
      </w:pPr>
    </w:p>
    <w:p w:rsidR="008B235D" w:rsidRDefault="008B235D" w:rsidP="008B235D">
      <w:pPr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42098" w:rsidRDefault="00342098" w:rsidP="00342098">
      <w:pPr>
        <w:spacing w:line="259" w:lineRule="auto"/>
        <w:ind w:right="14"/>
        <w:jc w:val="right"/>
      </w:pPr>
    </w:p>
    <w:p w:rsidR="00342098" w:rsidRDefault="00342098" w:rsidP="00342098">
      <w:pPr>
        <w:spacing w:after="32" w:line="259" w:lineRule="auto"/>
        <w:ind w:left="708"/>
      </w:pPr>
      <w:r>
        <w:t xml:space="preserve"> </w:t>
      </w:r>
      <w:r>
        <w:rPr>
          <w:noProof/>
        </w:rPr>
        <w:drawing>
          <wp:inline distT="0" distB="0" distL="0" distR="0" wp14:anchorId="295D11E4" wp14:editId="7284103F">
            <wp:extent cx="5318760" cy="2208530"/>
            <wp:effectExtent l="0" t="0" r="0" b="127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98" w:rsidRDefault="00342098" w:rsidP="00342098">
      <w:pPr>
        <w:tabs>
          <w:tab w:val="center" w:pos="1506"/>
          <w:tab w:val="center" w:pos="3830"/>
          <w:tab w:val="center" w:pos="5549"/>
          <w:tab w:val="center" w:pos="6609"/>
          <w:tab w:val="center" w:pos="7548"/>
          <w:tab w:val="center" w:pos="8435"/>
          <w:tab w:val="right" w:pos="10551"/>
        </w:tabs>
        <w:spacing w:after="30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C00000"/>
        </w:rPr>
        <w:t xml:space="preserve">Сжиженный </w:t>
      </w:r>
      <w:r>
        <w:rPr>
          <w:b/>
          <w:color w:val="C00000"/>
        </w:rPr>
        <w:tab/>
        <w:t xml:space="preserve">углеводородный </w:t>
      </w:r>
      <w:r>
        <w:rPr>
          <w:b/>
          <w:color w:val="C00000"/>
        </w:rPr>
        <w:tab/>
        <w:t xml:space="preserve">газ </w:t>
      </w:r>
      <w:r>
        <w:rPr>
          <w:b/>
          <w:color w:val="C00000"/>
        </w:rPr>
        <w:tab/>
        <w:t xml:space="preserve"> (</w:t>
      </w:r>
      <w:r>
        <w:rPr>
          <w:b/>
          <w:color w:val="C00000"/>
        </w:rPr>
        <w:t xml:space="preserve">далее </w:t>
      </w:r>
      <w:r>
        <w:rPr>
          <w:b/>
          <w:color w:val="C00000"/>
        </w:rPr>
        <w:tab/>
        <w:t xml:space="preserve">– </w:t>
      </w:r>
      <w:r>
        <w:rPr>
          <w:b/>
          <w:color w:val="C00000"/>
        </w:rPr>
        <w:tab/>
        <w:t xml:space="preserve">СУГ) </w:t>
      </w:r>
      <w:r>
        <w:rPr>
          <w:b/>
          <w:color w:val="C00000"/>
        </w:rPr>
        <w:tab/>
        <w:t xml:space="preserve">является  </w:t>
      </w:r>
    </w:p>
    <w:p w:rsidR="00342098" w:rsidRDefault="00342098" w:rsidP="00342098">
      <w:pPr>
        <w:ind w:left="-5" w:right="75"/>
      </w:pPr>
      <w:r>
        <w:rPr>
          <w:b/>
          <w:color w:val="C00000"/>
        </w:rPr>
        <w:t>взрывопожароопасной смесью</w:t>
      </w:r>
      <w:r>
        <w:t xml:space="preserve">. Он тяжелее воздуха и скапливается в </w:t>
      </w:r>
      <w:r>
        <w:t>низких и</w:t>
      </w:r>
      <w:r>
        <w:t xml:space="preserve"> непроветриваемых местах. </w:t>
      </w:r>
      <w:r>
        <w:t>При высоких</w:t>
      </w:r>
      <w:r>
        <w:t xml:space="preserve"> концентрациях в замкнутом пространстве, вследствие уменьшения содержания кислорода в воздухе, может наступить удушье. При неполном сгорании газа в связи с недостаточностью воздуха образуется угарный газ – </w:t>
      </w:r>
      <w:proofErr w:type="gramStart"/>
      <w:r>
        <w:t>вызывающий острое отравление</w:t>
      </w:r>
      <w:proofErr w:type="gramEnd"/>
      <w:r>
        <w:t xml:space="preserve"> </w:t>
      </w:r>
      <w:r>
        <w:t>сопровождающееся потерей</w:t>
      </w:r>
      <w:r>
        <w:t xml:space="preserve"> </w:t>
      </w:r>
      <w:r>
        <w:t>сознания и</w:t>
      </w:r>
      <w:r>
        <w:t xml:space="preserve"> возможным наступлением летального исхода. При попадании жидкой </w:t>
      </w:r>
      <w:r>
        <w:t>фазы на</w:t>
      </w:r>
      <w:r>
        <w:t xml:space="preserve"> открытые участки тела вызывает обморожение. </w:t>
      </w:r>
    </w:p>
    <w:p w:rsidR="00342098" w:rsidRDefault="00342098" w:rsidP="00342098">
      <w:pPr>
        <w:ind w:left="-5" w:right="75"/>
      </w:pPr>
      <w:r>
        <w:t xml:space="preserve"> </w:t>
      </w:r>
      <w:r>
        <w:rPr>
          <w:b/>
          <w:color w:val="C00000"/>
        </w:rPr>
        <w:t>Потребитель обязан</w:t>
      </w:r>
      <w:r>
        <w:t xml:space="preserve"> обеспечивать своевременное техническое обслуживание, ремонт, техническое диагностирование и замену внутриквартирного газового оборудования (сокращенно – ВКГО), а также своевременно принимать </w:t>
      </w:r>
      <w:proofErr w:type="gramStart"/>
      <w:r>
        <w:t>меры  по</w:t>
      </w:r>
      <w:proofErr w:type="gramEnd"/>
      <w:r>
        <w:t xml:space="preserve"> исполнению уведомлений газовой службы, управляющей организации, предписаний органов государственного жилищного надзора и органов муниципального жилищного контроля. </w:t>
      </w:r>
    </w:p>
    <w:p w:rsidR="00342098" w:rsidRDefault="00342098" w:rsidP="00342098">
      <w:pPr>
        <w:spacing w:after="11" w:line="270" w:lineRule="auto"/>
        <w:ind w:left="718" w:right="67"/>
      </w:pPr>
      <w:r>
        <w:rPr>
          <w:b/>
          <w:color w:val="C00000"/>
        </w:rPr>
        <w:t>Запрещается</w:t>
      </w:r>
      <w:r>
        <w:t xml:space="preserve">: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совершать действия по монтажу/демонтажу газопроводов, а </w:t>
      </w:r>
      <w:proofErr w:type="gramStart"/>
      <w:r>
        <w:t>также  по</w:t>
      </w:r>
      <w:proofErr w:type="gramEnd"/>
      <w:r>
        <w:t xml:space="preserve"> подключению/отключению бытового газоиспользующего оборудования  к газопроводу, проводить с нарушением законодательства РФ переустройство внутридомового газового оборудования (далее – ВДГО) и ВКГО, дымовых  и вентиляционных каналов.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использовать для сна и отдыха помещения, где установлена газовая плита;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закрывать (замуровывать, заклеивать) отверстия дымовых и вентиляционных каналов;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нарушать сохранность пломб, установленных на приборах учета газа; </w:t>
      </w:r>
    </w:p>
    <w:p w:rsidR="00342098" w:rsidRDefault="00342098" w:rsidP="00342098">
      <w:pPr>
        <w:numPr>
          <w:ilvl w:val="0"/>
          <w:numId w:val="1"/>
        </w:numPr>
        <w:spacing w:after="2" w:line="276" w:lineRule="auto"/>
        <w:ind w:right="75" w:hanging="163"/>
        <w:jc w:val="both"/>
      </w:pPr>
      <w:r>
        <w:lastRenderedPageBreak/>
        <w:t xml:space="preserve">отключать автоматику безопасности газоиспользующего оборудования; - оставлять без присмотра работающее газоиспользующее оборудование, кроме оборудования, рассчитанного на непрерывную работу; </w:t>
      </w:r>
    </w:p>
    <w:p w:rsidR="00342098" w:rsidRDefault="00342098" w:rsidP="00342098">
      <w:pPr>
        <w:numPr>
          <w:ilvl w:val="0"/>
          <w:numId w:val="1"/>
        </w:numPr>
        <w:spacing w:after="2" w:line="276" w:lineRule="auto"/>
        <w:ind w:right="75" w:hanging="163"/>
        <w:jc w:val="both"/>
      </w:pPr>
      <w:r>
        <w:t xml:space="preserve">допускать к использованию газоиспользующего оборудования детей дошкольного возраста, </w:t>
      </w:r>
      <w:r>
        <w:tab/>
        <w:t xml:space="preserve">лиц, </w:t>
      </w:r>
      <w:r>
        <w:tab/>
        <w:t xml:space="preserve">не </w:t>
      </w:r>
      <w:r>
        <w:tab/>
        <w:t xml:space="preserve">контролирующих </w:t>
      </w:r>
      <w:r>
        <w:tab/>
        <w:t xml:space="preserve">свои </w:t>
      </w:r>
      <w:r>
        <w:tab/>
        <w:t xml:space="preserve">действия, </w:t>
      </w:r>
      <w:r>
        <w:tab/>
        <w:t xml:space="preserve">лиц </w:t>
      </w:r>
      <w:r>
        <w:tab/>
        <w:t xml:space="preserve">с </w:t>
      </w:r>
      <w:r>
        <w:tab/>
        <w:t xml:space="preserve">ограниченными возможностями, не позволяющими безопасно его использовать, а также </w:t>
      </w:r>
      <w:proofErr w:type="gramStart"/>
      <w:r>
        <w:t>лиц,  не</w:t>
      </w:r>
      <w:proofErr w:type="gramEnd"/>
      <w:r>
        <w:t xml:space="preserve"> прошедших инструктаж по безопасному использованию газа в быту. </w:t>
      </w:r>
    </w:p>
    <w:p w:rsidR="00342098" w:rsidRDefault="00342098" w:rsidP="00342098">
      <w:pPr>
        <w:ind w:left="-15" w:right="75" w:firstLine="708"/>
      </w:pPr>
      <w:r>
        <w:rPr>
          <w:b/>
          <w:color w:val="C00000"/>
        </w:rPr>
        <w:t>Запрещается</w:t>
      </w:r>
      <w:r>
        <w:t xml:space="preserve">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 xml:space="preserve">, радиоэлектронные средства связи (мобильный телефон и </w:t>
      </w:r>
      <w:proofErr w:type="gramStart"/>
      <w:r>
        <w:t>иные)  в</w:t>
      </w:r>
      <w:proofErr w:type="gramEnd"/>
      <w:r>
        <w:t xml:space="preserve"> случаях: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выполнения работ по техническому обслуживанию и ремонту ВДГО и (или) ВКГО;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обнаружения утечки газа;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срабатывания систем контроля загазованности помещений. </w:t>
      </w:r>
    </w:p>
    <w:p w:rsidR="00342098" w:rsidRDefault="00342098" w:rsidP="00342098">
      <w:pPr>
        <w:ind w:left="-15" w:right="75" w:firstLine="708"/>
      </w:pPr>
      <w:r>
        <w:rPr>
          <w:b/>
          <w:color w:val="C00000"/>
        </w:rPr>
        <w:t>Запрещается</w:t>
      </w:r>
      <w:r>
        <w:t xml:space="preserve"> ограничивать представителям газовой службы доступ к </w:t>
      </w:r>
      <w:proofErr w:type="gramStart"/>
      <w:r>
        <w:t>ВДГО  и</w:t>
      </w:r>
      <w:proofErr w:type="gramEnd"/>
      <w:r>
        <w:t xml:space="preserve"> (или) ВКГО посторонними предметами (в том числе мебелью) для проведения работ. </w:t>
      </w:r>
    </w:p>
    <w:p w:rsidR="00342098" w:rsidRDefault="00342098" w:rsidP="00342098">
      <w:pPr>
        <w:ind w:left="718" w:right="75"/>
      </w:pPr>
      <w:r>
        <w:rPr>
          <w:b/>
          <w:color w:val="C00000"/>
        </w:rPr>
        <w:t>Запрещается</w:t>
      </w:r>
      <w:r>
        <w:t xml:space="preserve"> использовать ВДГО и (или) ВКГО не по назначению, в том числе: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привязывать к газопроводам посторонние предметы (веревки, кабели и иные);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использовать газопроводы в качестве опор или заземлителей;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подвергать ВДГО и (или) ВКГО действию статических или динамических нагрузок; - проверять работу вентиляционных каналов, герметичность соединений ВДГО и (или) </w:t>
      </w:r>
    </w:p>
    <w:p w:rsidR="00342098" w:rsidRDefault="00342098" w:rsidP="00342098">
      <w:pPr>
        <w:ind w:left="-5" w:right="75"/>
      </w:pPr>
      <w:r>
        <w:t xml:space="preserve">ВКГО с помощью источников открытого пламени (спичек, зажигалок, свечей и иных);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допускать порчу и повреждение ВДГО и (или) ВКГО, хищение газа;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устанавливать (размещать) мебель и иные легковоспламеняющиеся </w:t>
      </w:r>
      <w:proofErr w:type="gramStart"/>
      <w:r>
        <w:t>предметы  и</w:t>
      </w:r>
      <w:proofErr w:type="gramEnd"/>
      <w:r>
        <w:t xml:space="preserve"> материалы без соблюдения требований к расстояниям от газоиспользующего оборудования. </w:t>
      </w:r>
    </w:p>
    <w:p w:rsidR="00342098" w:rsidRDefault="00342098" w:rsidP="00342098">
      <w:pPr>
        <w:ind w:left="718" w:right="75"/>
      </w:pPr>
      <w:r>
        <w:rPr>
          <w:b/>
          <w:color w:val="C00000"/>
        </w:rPr>
        <w:t>Запрещается</w:t>
      </w:r>
      <w:r>
        <w:t xml:space="preserve"> использование ВКГО в следующих случаях: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отсутствие договора о техническом обслуживании и ремонте ВКГО;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отсутствие тяги в дымоходах и вентиляционных каналах;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отсутствие притока воздуха в количестве, необходимом для полного сгорания </w:t>
      </w:r>
      <w:proofErr w:type="gramStart"/>
      <w:r>
        <w:t>газа,  в</w:t>
      </w:r>
      <w:proofErr w:type="gramEnd"/>
      <w:r>
        <w:t xml:space="preserve"> том числе по следующим причинам: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закрытое положение жалюзийной решетки на вентиляционном канале;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использование в помещении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наличие неисправности автоматики безопасности;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наличие неустранимой утечки газа;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ВКГО;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наличие несанкционированного подключения к газопроводу;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наличие аварийного состояния строительных конструкций многоквартирного дома; - наличие истекшего нормативного срока эксплуатации или срока службы у </w:t>
      </w:r>
      <w:proofErr w:type="gramStart"/>
      <w:r>
        <w:t>ВДГО  и</w:t>
      </w:r>
      <w:proofErr w:type="gramEnd"/>
      <w:r>
        <w:t xml:space="preserve"> (или) ВКГО в отсутствие положительного заключения по результатам технического диагностирования указанного оборудования. </w:t>
      </w:r>
    </w:p>
    <w:p w:rsidR="00342098" w:rsidRDefault="00342098" w:rsidP="00342098">
      <w:pPr>
        <w:spacing w:after="11" w:line="270" w:lineRule="auto"/>
        <w:ind w:left="9" w:right="67" w:firstLine="708"/>
      </w:pPr>
      <w:r>
        <w:rPr>
          <w:b/>
          <w:color w:val="C00000"/>
        </w:rPr>
        <w:lastRenderedPageBreak/>
        <w:t>При обнаружении утечки газа и (или) срабатывании систем контроля загазованности необходимо принять следующие меры</w:t>
      </w:r>
      <w:r>
        <w:t xml:space="preserve">: - незамедлительно обеспечить приток воздуха в помещения;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перекрыть кран на </w:t>
      </w:r>
      <w:proofErr w:type="spellStart"/>
      <w:r>
        <w:t>опуске</w:t>
      </w:r>
      <w:proofErr w:type="spellEnd"/>
      <w:r>
        <w:t xml:space="preserve"> (отводе к газовым приборам);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электронный звонок, радиоэлектронные средства связи (мобильный телефон и иные);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не зажигать огонь, не курить;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принять меры по эвакуации людей из загазованной среды;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оповестить (при наличии возможности) о мерах предосторожности людей, находящихся в смежных помещениях многоквартирного дома; </w:t>
      </w:r>
    </w:p>
    <w:p w:rsidR="00342098" w:rsidRDefault="00342098" w:rsidP="00342098">
      <w:pPr>
        <w:numPr>
          <w:ilvl w:val="0"/>
          <w:numId w:val="1"/>
        </w:numPr>
        <w:spacing w:after="15" w:line="267" w:lineRule="auto"/>
        <w:ind w:right="75" w:hanging="163"/>
        <w:jc w:val="both"/>
      </w:pPr>
      <w:r>
        <w:t xml:space="preserve">покинуть помещение, в котором обнаружена утечка газа, и перейти в безопасное место, откуда сообщить о наличии утечки газа в аварийную газовую </w:t>
      </w:r>
      <w:r>
        <w:t>службу по</w:t>
      </w:r>
      <w:r>
        <w:t xml:space="preserve"> телефону 04, 104. </w:t>
      </w:r>
    </w:p>
    <w:p w:rsidR="00342098" w:rsidRDefault="00342098" w:rsidP="00342098">
      <w:pPr>
        <w:spacing w:after="28" w:line="259" w:lineRule="auto"/>
      </w:pPr>
      <w:r>
        <w:t xml:space="preserve"> </w:t>
      </w:r>
    </w:p>
    <w:p w:rsidR="00342098" w:rsidRDefault="00342098" w:rsidP="00342098">
      <w:pPr>
        <w:ind w:left="-15" w:right="75" w:firstLine="708"/>
      </w:pPr>
      <w:r>
        <w:rPr>
          <w:b/>
          <w:color w:val="C00000"/>
        </w:rPr>
        <w:t>ПОМНИТЕ!</w:t>
      </w:r>
      <w:r>
        <w:t xml:space="preserve"> От соблюдения указанных правил зависит жизнь и здоровье </w:t>
      </w:r>
      <w:r>
        <w:t>Вас и</w:t>
      </w:r>
      <w:r>
        <w:t xml:space="preserve"> ваших близких. Поместите памятку рядом с газоиспользующим </w:t>
      </w:r>
      <w:bookmarkStart w:id="0" w:name="_GoBack"/>
      <w:bookmarkEnd w:id="0"/>
      <w:r>
        <w:t>оборудованием в</w:t>
      </w:r>
      <w:r>
        <w:t xml:space="preserve"> доступном для чтения месте. Заключение договора на техническое обслуживание внутриквартирного газового оборудования является обязанностью собственника квартиры и позволит избежать возможные негативные последствия. </w:t>
      </w:r>
    </w:p>
    <w:p w:rsidR="00342098" w:rsidRDefault="00342098" w:rsidP="00342098">
      <w:pPr>
        <w:spacing w:line="259" w:lineRule="auto"/>
      </w:pPr>
      <w:r>
        <w:rPr>
          <w:b/>
          <w:color w:val="C00000"/>
        </w:rPr>
        <w:t xml:space="preserve"> </w:t>
      </w:r>
    </w:p>
    <w:p w:rsidR="00342098" w:rsidRDefault="00342098" w:rsidP="00342098">
      <w:pPr>
        <w:spacing w:after="11" w:line="270" w:lineRule="auto"/>
        <w:ind w:left="19" w:right="67"/>
      </w:pPr>
      <w:r>
        <w:rPr>
          <w:b/>
          <w:color w:val="C00000"/>
        </w:rPr>
        <w:t xml:space="preserve">ОБРАЩАЕМ ВАШЕ ВНИМАНИЕ, ЧТО УСТАНОВКА СИСТЕМЫ КОНТРОЛЯ </w:t>
      </w:r>
    </w:p>
    <w:p w:rsidR="00342098" w:rsidRDefault="00342098" w:rsidP="00342098">
      <w:pPr>
        <w:spacing w:after="11" w:line="270" w:lineRule="auto"/>
        <w:ind w:left="194" w:right="67" w:hanging="185"/>
      </w:pPr>
      <w:r>
        <w:rPr>
          <w:b/>
          <w:color w:val="C00000"/>
        </w:rPr>
        <w:t xml:space="preserve">ЗАГАЗОВАННОСТИ СНИЖАЕТ (ЛИБО ИСКЛЮЧАЕТ) РИСКИ ПОЯВЛЕНИЯ ВЗРЫВО- И ПОЖАРООПАСНЫХ КОНЦЕНТРАЦИЙ СУГ, ОБЕСПЕЧИВАЯ </w:t>
      </w:r>
    </w:p>
    <w:p w:rsidR="00342098" w:rsidRDefault="00342098" w:rsidP="00342098">
      <w:pPr>
        <w:spacing w:line="259" w:lineRule="auto"/>
        <w:ind w:right="84"/>
        <w:jc w:val="center"/>
      </w:pPr>
      <w:r>
        <w:rPr>
          <w:b/>
          <w:color w:val="C00000"/>
        </w:rPr>
        <w:t xml:space="preserve">ВАШУ БЕЗОПАСНОСТЬ! </w:t>
      </w:r>
    </w:p>
    <w:p w:rsidR="00342098" w:rsidRDefault="00342098" w:rsidP="00342098">
      <w:pPr>
        <w:spacing w:line="259" w:lineRule="auto"/>
        <w:ind w:left="708"/>
      </w:pPr>
      <w:r>
        <w:t xml:space="preserve"> </w:t>
      </w:r>
    </w:p>
    <w:p w:rsidR="008B235D" w:rsidRPr="009221A5" w:rsidRDefault="008B235D" w:rsidP="008B235D">
      <w:pPr>
        <w:rPr>
          <w:sz w:val="28"/>
          <w:szCs w:val="28"/>
        </w:rPr>
      </w:pPr>
    </w:p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Pr="00E36DDD" w:rsidRDefault="008B235D" w:rsidP="008B235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235D" w:rsidRPr="00E36DDD" w:rsidRDefault="008B235D" w:rsidP="008B235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0059" wp14:editId="3B9F448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401D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B235D" w:rsidRDefault="008B235D" w:rsidP="008B235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B235D" w:rsidRDefault="008B235D" w:rsidP="008B235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8B235D" w:rsidRDefault="008B235D" w:rsidP="008B235D"/>
    <w:p w:rsidR="00DB795A" w:rsidRDefault="00DB795A"/>
    <w:sectPr w:rsidR="00D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0B2"/>
    <w:multiLevelType w:val="hybridMultilevel"/>
    <w:tmpl w:val="9A3A3B36"/>
    <w:lvl w:ilvl="0" w:tplc="062055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C10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A50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28D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64F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E34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05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22D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AC3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08"/>
    <w:rsid w:val="00142408"/>
    <w:rsid w:val="00342098"/>
    <w:rsid w:val="008B235D"/>
    <w:rsid w:val="00D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3E10-C067-46D4-8BC9-3654628B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35D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8B235D"/>
    <w:pPr>
      <w:spacing w:after="0" w:line="240" w:lineRule="auto"/>
    </w:pPr>
  </w:style>
  <w:style w:type="character" w:styleId="a5">
    <w:name w:val="Strong"/>
    <w:basedOn w:val="a0"/>
    <w:uiPriority w:val="22"/>
    <w:qFormat/>
    <w:rsid w:val="008B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2022-03-11T03:57:00Z</dcterms:created>
  <dcterms:modified xsi:type="dcterms:W3CDTF">2022-03-11T04:00:00Z</dcterms:modified>
</cp:coreProperties>
</file>