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518" w:rsidRDefault="00982518" w:rsidP="00982518">
      <w:pPr>
        <w:jc w:val="center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E39FD93" wp14:editId="71C1E36A">
            <wp:simplePos x="0" y="0"/>
            <wp:positionH relativeFrom="column">
              <wp:posOffset>2857500</wp:posOffset>
            </wp:positionH>
            <wp:positionV relativeFrom="paragraph">
              <wp:posOffset>228600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518" w:rsidRDefault="00982518" w:rsidP="00982518">
      <w:pPr>
        <w:jc w:val="center"/>
        <w:rPr>
          <w:lang w:val="en-US"/>
        </w:rPr>
      </w:pPr>
    </w:p>
    <w:p w:rsidR="00982518" w:rsidRPr="009D2E9D" w:rsidRDefault="00982518" w:rsidP="00982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518" w:rsidRPr="0080689B" w:rsidRDefault="00982518" w:rsidP="00982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89B">
        <w:rPr>
          <w:rFonts w:ascii="Times New Roman" w:hAnsi="Times New Roman"/>
          <w:b/>
          <w:sz w:val="28"/>
          <w:szCs w:val="28"/>
        </w:rPr>
        <w:t>Администрация Шапкинского сельсовета</w:t>
      </w:r>
    </w:p>
    <w:p w:rsidR="00982518" w:rsidRPr="0080689B" w:rsidRDefault="00982518" w:rsidP="009825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9B">
        <w:rPr>
          <w:rFonts w:ascii="Times New Roman" w:hAnsi="Times New Roman"/>
          <w:sz w:val="28"/>
          <w:szCs w:val="28"/>
        </w:rPr>
        <w:t>Енисейского района</w:t>
      </w:r>
    </w:p>
    <w:p w:rsidR="00982518" w:rsidRPr="0080689B" w:rsidRDefault="00982518" w:rsidP="009825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89B">
        <w:rPr>
          <w:rFonts w:ascii="Times New Roman" w:hAnsi="Times New Roman"/>
          <w:sz w:val="28"/>
          <w:szCs w:val="28"/>
        </w:rPr>
        <w:t>Красноярского края</w:t>
      </w:r>
    </w:p>
    <w:p w:rsidR="00982518" w:rsidRPr="009D2E9D" w:rsidRDefault="00982518" w:rsidP="009825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518" w:rsidRPr="009D2E9D" w:rsidRDefault="00982518" w:rsidP="00982518">
      <w:pPr>
        <w:jc w:val="center"/>
        <w:rPr>
          <w:rFonts w:ascii="Times New Roman" w:hAnsi="Times New Roman"/>
          <w:b/>
          <w:sz w:val="24"/>
          <w:szCs w:val="24"/>
        </w:rPr>
      </w:pPr>
      <w:r w:rsidRPr="009D2E9D">
        <w:rPr>
          <w:rFonts w:ascii="Times New Roman" w:hAnsi="Times New Roman"/>
          <w:b/>
          <w:sz w:val="24"/>
          <w:szCs w:val="24"/>
        </w:rPr>
        <w:t>ПОСТАНОВЛЕНИЕ</w:t>
      </w:r>
    </w:p>
    <w:p w:rsidR="00982518" w:rsidRPr="009D2E9D" w:rsidRDefault="00982518" w:rsidP="009825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82518" w:rsidRPr="009D2E9D" w:rsidRDefault="00982518" w:rsidP="009825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7287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9D2E9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9D2E9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D2E9D">
        <w:rPr>
          <w:rFonts w:ascii="Times New Roman" w:hAnsi="Times New Roman"/>
          <w:sz w:val="28"/>
          <w:szCs w:val="28"/>
        </w:rPr>
        <w:t xml:space="preserve">г.        </w:t>
      </w:r>
      <w:r w:rsidRPr="009D2E9D">
        <w:rPr>
          <w:rFonts w:ascii="Times New Roman" w:hAnsi="Times New Roman"/>
          <w:sz w:val="28"/>
          <w:szCs w:val="28"/>
        </w:rPr>
        <w:tab/>
      </w:r>
      <w:r w:rsidRPr="009D2E9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D2E9D">
        <w:rPr>
          <w:rFonts w:ascii="Times New Roman" w:hAnsi="Times New Roman"/>
          <w:sz w:val="28"/>
          <w:szCs w:val="28"/>
        </w:rPr>
        <w:t xml:space="preserve">  п. Ш</w:t>
      </w:r>
      <w:r>
        <w:rPr>
          <w:rFonts w:ascii="Times New Roman" w:hAnsi="Times New Roman"/>
          <w:sz w:val="28"/>
          <w:szCs w:val="28"/>
        </w:rPr>
        <w:t xml:space="preserve">апкино                  </w:t>
      </w:r>
      <w:r w:rsidRPr="009D2E9D">
        <w:rPr>
          <w:rFonts w:ascii="Times New Roman" w:hAnsi="Times New Roman"/>
          <w:sz w:val="28"/>
          <w:szCs w:val="28"/>
        </w:rPr>
        <w:t xml:space="preserve">              </w:t>
      </w:r>
      <w:r w:rsidRPr="009D2E9D">
        <w:rPr>
          <w:rFonts w:ascii="Times New Roman" w:hAnsi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/>
          <w:sz w:val="28"/>
          <w:szCs w:val="28"/>
        </w:rPr>
        <w:t>40</w:t>
      </w:r>
      <w:r w:rsidRPr="009D2E9D">
        <w:rPr>
          <w:rFonts w:ascii="Times New Roman" w:hAnsi="Times New Roman"/>
          <w:sz w:val="28"/>
          <w:szCs w:val="28"/>
        </w:rPr>
        <w:t>-п</w:t>
      </w:r>
    </w:p>
    <w:p w:rsidR="00982518" w:rsidRDefault="00982518" w:rsidP="00982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предварительных (ожидаемых) итогах </w:t>
      </w:r>
    </w:p>
    <w:p w:rsidR="00982518" w:rsidRDefault="00982518" w:rsidP="00982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Социально-экономического развития за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</w:p>
    <w:p w:rsidR="00982518" w:rsidRDefault="00982518" w:rsidP="009825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прогнозе социально-экономического развития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</w:p>
    <w:p w:rsidR="00982518" w:rsidRPr="00B44AEE" w:rsidRDefault="00982518" w:rsidP="009825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r w:rsidRPr="00B44A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униципального образования Шапкинский сельсовет.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    В соответствии со статьей 173 Бюджетного кодекса Российской Федерации, Положением о бюджетном процессе в муниципальном образовании Шапкинский сельсовет Енисейского района, утвержденным решением Совета Шапкинского сельсовета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13.12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.2012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33-123р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  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            ПОСТАНОВЛЯЮ: 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1. Утвердить предварительные</w:t>
      </w:r>
      <w:r w:rsidRPr="00B44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(ожидаемые) итоги социально-экономического развития за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B44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прогноз социально-экономического развития на 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Pr="00B44AE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муниципального образования Шапкинский сельсовет.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689B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опубликовать в газете «Шапкинский вестник» и обнародовать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администрации Шапкинского сельсовета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2518" w:rsidRPr="009D2E9D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 Глава Шапкинского сельсовета                                             Л.И. Загитова                                                                           </w:t>
      </w:r>
    </w:p>
    <w:p w:rsidR="00982518" w:rsidRPr="00B44AEE" w:rsidRDefault="00982518" w:rsidP="009825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518" w:rsidRDefault="00982518" w:rsidP="009825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518" w:rsidRDefault="00982518" w:rsidP="009825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518" w:rsidRPr="00B44AEE" w:rsidRDefault="00982518" w:rsidP="009825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982518" w:rsidRPr="00B44AEE" w:rsidRDefault="00982518" w:rsidP="009825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Шапкинский сельсовет</w:t>
      </w:r>
    </w:p>
    <w:p w:rsidR="00982518" w:rsidRPr="00B44AEE" w:rsidRDefault="00982518" w:rsidP="009825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40-п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Предварительные (ожидаемые) итоги социально-экономического развития за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прогноз социально-экономического развития 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r w:rsidRPr="00B44AEE">
        <w:rPr>
          <w:rFonts w:ascii="Times New Roman" w:eastAsia="Times New Roman" w:hAnsi="Times New Roman"/>
          <w:b/>
          <w:sz w:val="24"/>
          <w:szCs w:val="24"/>
          <w:lang w:eastAsia="ru-RU"/>
        </w:rPr>
        <w:t>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1. Административно-территориальное деление, общие показатели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 муниципального образования Шапкинский сельсовет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2.1. Демографические показатели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2.2. Доходы населения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2.3. Производство товаров и услуг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2.4. Рынок товаров и услуг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2.5. Малое и среднее предпринимательство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2.6. Инвестиции в строительство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2.7. Труд и занятость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2.8. Развитие социальной сферы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 Показатели предварительного прогноза социально-экономического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3.1. Демографические показатели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3.2. Налоговые условия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3.3. Производство товаров и услуг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3.4. Рынок товаров и услуг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3.5. Малое и среднее предпринимательство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3.6. Инвестиции в строительство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3.7. Труд и занятость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4. Предполагаемые точки экономического развития 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на ближайшую перспективу.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1. Административно-территориальное деление</w:t>
      </w:r>
    </w:p>
    <w:tbl>
      <w:tblPr>
        <w:tblpPr w:leftFromText="180" w:rightFromText="180" w:vertAnchor="text" w:horzAnchor="page" w:tblpX="3211" w:tblpY="388"/>
        <w:tblW w:w="73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529"/>
        <w:gridCol w:w="1405"/>
        <w:gridCol w:w="1463"/>
        <w:gridCol w:w="1368"/>
      </w:tblGrid>
      <w:tr w:rsidR="00982518" w:rsidRPr="00B44AEE" w:rsidTr="00E6210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Численность населения населенного пункта, чел.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r w:rsidR="00DA3AB5"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 районного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 (км.)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транспорта, Количество рейсов в течение дня/ пешая доступность</w:t>
            </w:r>
          </w:p>
        </w:tc>
      </w:tr>
      <w:tr w:rsidR="00982518" w:rsidRPr="00B44AEE" w:rsidTr="00E62103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Шапкинский сельсовет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Шапкино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</w:t>
            </w:r>
          </w:p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рейсов автобуса</w:t>
            </w:r>
          </w:p>
          <w:p w:rsidR="00982518" w:rsidRPr="00B44AEE" w:rsidRDefault="00982518" w:rsidP="00E621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Общие показатели</w:t>
      </w: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2518" w:rsidRPr="00B44AEE" w:rsidRDefault="00982518" w:rsidP="009825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590"/>
        <w:gridCol w:w="1590"/>
        <w:gridCol w:w="1590"/>
        <w:gridCol w:w="1893"/>
        <w:gridCol w:w="1590"/>
      </w:tblGrid>
      <w:tr w:rsidR="00982518" w:rsidRPr="00B44AEE" w:rsidTr="00E6210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(предварительные итоги)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(прогноз)</w:t>
            </w:r>
          </w:p>
        </w:tc>
      </w:tr>
      <w:tr w:rsidR="00982518" w:rsidRPr="00B44AEE" w:rsidTr="00E6210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сельских населенных пунктов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82518" w:rsidRPr="00B44AEE" w:rsidTr="00E62103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A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518" w:rsidRPr="00B44AEE" w:rsidRDefault="00982518" w:rsidP="00E621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82518" w:rsidRPr="00B44AEE" w:rsidRDefault="00982518" w:rsidP="0098251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 Предварительные (ожидаемые) итоги социально-экономического развития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Муниципальное образование Шапкинский сельсовет</w:t>
      </w:r>
      <w:r w:rsidRPr="00B44A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включает населенный пункт: п. Шапкино. Численность поселения по состоянию на 01.11.201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98251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997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чел.</w:t>
      </w:r>
    </w:p>
    <w:p w:rsidR="00982518" w:rsidRDefault="00982518" w:rsidP="007D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 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предварительной оценке среднегодовая численность населения сельского поселения составит </w:t>
      </w:r>
      <w:r w:rsidRPr="00982518">
        <w:rPr>
          <w:rFonts w:ascii="Times New Roman" w:eastAsia="Times New Roman" w:hAnsi="Times New Roman"/>
          <w:sz w:val="24"/>
          <w:szCs w:val="24"/>
          <w:lang w:eastAsia="ru-RU"/>
        </w:rPr>
        <w:t xml:space="preserve">997 человек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и сократится по отношению к уровню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человека, в том числе за счет миграционного оттока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,3 %, за счет естественной убыли - 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%, уточнения статистических данных по переписи населения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,3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прогнозируемом периоде сохраняются сложившиеся тенденции к сокращению численности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 2.2. Доходы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 влиянием неоднократного повышения оплаты труда работников бюджетного сектора экономики во второй половине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при росте заработной платы в отраслях, на которые приходится основная доля среднесписочной численности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аботников поселения (от 8 % до 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0 %), денежные доходы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превысят уровень предыдущего года на 4,4 %.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 учётом запланированного повышения фондов оплаты труда в бюджетном секторе экономики (с 1 октября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%)  прогнозируется рост заработной платы на 10 %.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 С учетом оцениваемого повышения величины прожиточного минимума н</w:t>
      </w:r>
      <w:r w:rsidR="003D0FF8">
        <w:rPr>
          <w:rFonts w:ascii="Times New Roman" w:eastAsia="Times New Roman" w:hAnsi="Times New Roman"/>
          <w:sz w:val="24"/>
          <w:szCs w:val="24"/>
          <w:lang w:eastAsia="ru-RU"/>
        </w:rPr>
        <w:t>а душу населения до15703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Величина прожиточного минимума пенсионера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0FF8">
        <w:rPr>
          <w:rFonts w:ascii="Times New Roman" w:eastAsia="Times New Roman" w:hAnsi="Times New Roman"/>
          <w:sz w:val="24"/>
          <w:szCs w:val="24"/>
          <w:lang w:eastAsia="ru-RU"/>
        </w:rPr>
        <w:t>427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 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</w:t>
      </w:r>
      <w:r w:rsidR="003D0FF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Рынок товаров и услуг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Замедление инфляции, рост заработной платы, увеличение реальных денежных доходов населения, высокая кредитная активность ускорили рост потребительского спроса населения. Расширение рынка сбыта напрямую связано с открытием нового магазина, что является позитивной динамикой на потребительском рынке.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В итоге прогнозируемая до конца текущего года положительная тенденция ежемесячных приростов объемов продаж на фоне ожидаемого ускорения темпов роста цен на товары в связи с индексацией тарифов на коммунальные услуги обеспечит увеличение физических объемов оборота розничной торговли на 2,6 % по сравнению с 201</w:t>
      </w:r>
      <w:r w:rsidR="003D0FF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годом. Рост заработной платы обусловил изменения в структуре розничной торговли в сторону увеличения доли промышленных товаров на 1,5 % по сравнению с соответствующим периодом прошлого года.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 предварительным данным, физические объемы платных услуг населению в 201</w:t>
      </w:r>
      <w:r w:rsidR="003E3E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складываются практически на уровне 201</w:t>
      </w:r>
      <w:r w:rsidR="003E3E5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В целом за 201</w:t>
      </w:r>
      <w:r w:rsidR="003E3E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физические объемы платных услуг населению ожидаются выше уровня 201</w:t>
      </w:r>
      <w:r w:rsidR="003E3E5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на 1,2 %. </w:t>
      </w:r>
    </w:p>
    <w:p w:rsidR="00982518" w:rsidRPr="00B44AEE" w:rsidRDefault="00982518" w:rsidP="007D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прогнозным данным будут действовать 18 малых предприятий,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Численность работников занятых на малых предприятиях, по оценочным данным, составит 134 чел. Таким образом, на территории муниципального образования Шапкинский сельсовет всего в сфере малого бизнеса оценочно занято около 24,1 % работающего населения. С учетом коэффициента семейности от развития данной отрасли зависит благополучие трети населения. По прогнозным оценкам, к 201</w:t>
      </w:r>
      <w:r w:rsidR="003E3E5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работников занятых в сфере малого бизнеса не изменится.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Одной из характерных особенностей малого и среднего бизнеса в поселении является слаборазвитый производственный сектор, что обусловлено прежде всего отдаленностью от ближайшего районного центра, более высоким уровнем затрат на электроэнергию и топливо, заработную плату, необходимостью выплат компенсационного характера, связанных с условиями работы в районах Крайнего Севера.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структуре малого бизнеса в разрезе видов экономической деятельности основную долю занимает розничная торговля, на ее долю приходится 90 % от общего количества предприятий  и почти 95 % от их общего оборота.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Изменения в Федеральный закон от 22.11.1995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 части установления запрета на розничную продажу пива и пивных напитков с содержанием этилового спирта 5 и менее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процентов в нестационарных торговых объектах и без применения контрольно-кассовой техники, а также в ночное время существенно не отразятся на значениях показателей малого предпринимательства в сфере розничной торговли в 201</w:t>
      </w:r>
      <w:r w:rsidR="003E3E5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Конкуренция в поселении слабо развита, в связи с малым наличием предприятий и отсутствием  крупных торговых сетей.</w:t>
      </w:r>
    </w:p>
    <w:p w:rsidR="00982518" w:rsidRPr="00B44AEE" w:rsidRDefault="00982518" w:rsidP="007D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2.5.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приняли участие в долгосрочных целевых программах по развитию систем коммунальной инфраструктуры. В целях реализации этой программы выполнены такие мероприятия как: - формирование концепций повышения устойчивости и надежности функционирования коммунальной инфраструктуры; - модернизация систем теплоснабжения; - модернизация систем водоснабжения.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2.6.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>Численность населения трудоспособного возраста по предварительным данным в 201</w:t>
      </w:r>
      <w:r w:rsidR="003E3E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F5B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составит 457 чел.  Ежегодно их число сокращается в результате старения населения,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миграционной убыли, снижения и без того низкой продолжительности жизни в результате высокой смертности среди трудоспособного населения из-за заболеваемости.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В экономике по оценочным данным заняты в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 555 чел. В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прогнозным данным их число составит 5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0 чел.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  Муниципальный сектор экономики представлен предприятиями, работающими в отраслях: жилищно-коммунального хозяйства, социальной сферы. Наибольший удельный вес составляют организации социальной сферы (учреждения образования, здравоохранения, культуры и искусства, органов управления), доля предприятий промышленности, жилищно-коммунального хозяйства 22%.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   Уровень регистрируемой безработицы по прогнозным данным в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уменьшился по сравнению с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6 годом и составит 25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2.7. Развитие социальной сферы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Здравоохранение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Изменений в количестве учреждений здравоохранения в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На территории поселения функционирует КГБУЗ «Енисейская РБ» </w:t>
      </w:r>
      <w:proofErr w:type="spell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Шапкинская</w:t>
      </w:r>
      <w:proofErr w:type="spell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врачебная амбулатория. КГБУЗ «Енисейская РБ» г. Енисейск.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 Одновременно с этим в сфере здравоохранения наблюдается рост показателей посещений амбулаторно-поликлинических учреждений. В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</w:t>
      </w:r>
      <w:r w:rsidRPr="003D4EC5">
        <w:rPr>
          <w:rFonts w:ascii="Times New Roman" w:eastAsia="Times New Roman" w:hAnsi="Times New Roman"/>
          <w:sz w:val="24"/>
          <w:szCs w:val="24"/>
          <w:lang w:eastAsia="ru-RU"/>
        </w:rPr>
        <w:t xml:space="preserve">в ФАП обратятся - 7800 человек 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на 997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Обеспеченность средним медицинским персоналом в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предварительным данным останется на уровне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997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 Образование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Изменений в количестве учреждений образования в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не прогнозируется.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На территории поселения функционирует 1 средняя общеобразовательная школа и 1 дошкольное учреждение.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сфере школьного и дошкольного образования положительная динамика касается показателей наличия мест в школах и детских садах, обусловленная изменением в демографической структуре населения. В 201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число детей дошкольного возраста по прогнозным данным составит 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школьного возраста – </w:t>
      </w:r>
      <w:r w:rsidR="003D4EC5">
        <w:rPr>
          <w:rFonts w:ascii="Times New Roman" w:eastAsia="Times New Roman" w:hAnsi="Times New Roman"/>
          <w:sz w:val="24"/>
          <w:szCs w:val="24"/>
          <w:lang w:eastAsia="ru-RU"/>
        </w:rPr>
        <w:t>91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     С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величением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численности детей дошкольного возраста, в результате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рождаемости, прогнозируется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увеличение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детей, посещающих ДОУ и количество мест в детских садах.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Численность педагогических работников дошкольного учреждения и общеобразовательной школы останется на уровне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и составит 35 специалистов.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  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 В рамках реализации Федерального закона от 08.05.2010 года № 83-ФЗ «О 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территории Шапкинский сельсовет  функционирует  муниципальное бюджетной учреждение культуру «Центр культуры» .  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Населению сельского поселения предоставляет услуги по организации культурного досуга,  услуги библиотечного и информационного обслуживания пользователей предоставляет библиотека,  и находящееся   в ведомственной подчиненности администрации муниципального образования Шапкинский сельсовет  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оптимизации сети учреждений культуры, в том числе преследующей подход комплексного предоставления услуг с целью повышения качества их оказания, показатель обеспеченности библиотеками останется на уровне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 Количество потребителей, в предоставлении муниципальной услуги в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библиотеке составляет </w:t>
      </w:r>
      <w:r w:rsidRPr="003D1BF1">
        <w:rPr>
          <w:rFonts w:ascii="Times New Roman" w:eastAsia="Times New Roman" w:hAnsi="Times New Roman"/>
          <w:sz w:val="24"/>
          <w:szCs w:val="24"/>
          <w:lang w:eastAsia="ru-RU"/>
        </w:rPr>
        <w:t>18500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книговыдачи. В   МБУК «Центр культуры» в организации досуга населения: в предоставлении муниципальной услуги в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составляет 10115. </w:t>
      </w:r>
    </w:p>
    <w:p w:rsidR="00982518" w:rsidRPr="007D07FF" w:rsidRDefault="00982518" w:rsidP="007D07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Численность пенсионеров, состоящих на учете в ПФ 373 человека и к концу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году .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В поселении 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В связи с увеличением доли лиц старших возрастов в структуре населения поселения возникает острая потребность в стационарном социальном обслуживании. Особенно велика нуждаемость в получении социально-медицинской помощи престарелого населения, составляющего около 60 % населения.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 Показатели предварительного прогноза социально-экономического развития МО Шапкинский сельсовет  на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Предварительный прогноз разработан на вариантной основе - вариант I (консервативный) и вариант II (умеренно оптимистичный).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Варианты прогноза разработаны исходя из единой гипотезы внешних и внутренних условий и различаются эффективностью реализации государственной политики.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Первый вариант предусматривает воздействие сдерживающих факторов, сохранение низкой конкурентоспособности, сокращение спроса на труд, необходимость проведения более жесткой бюджетной политики, связанной со стагнацией государственного инвестиционного спроса и более низкими темпами роста заработных плат бюджетников.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вариант предполагает развитие экономики в условиях воздействия факторов роста, активной государственной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 промышленного производства, а также на повышение эффективности расходов местного бюджета.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Второй (умеренно оптимистичный) вариант предлагается в качестве основного для разработки прогноза социально-экономического развития на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проекта местного бюджета на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3.1. Демографические показатели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прогнозном периоде демографическая ситуация в поселении останется без существенных изменений. Так же будет присутствовать миграционный отток трудоспособного населения, увеличение доли лиц старших возрастов, что влечет увеличение смертности, уменьшение рождаемости.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прогнозируется уменьшение чис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ленности на 1%</w:t>
      </w:r>
      <w:r w:rsidRPr="00D93EB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3.2. Налоговые условия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При разработке прогноза налоговых поступлений на территории поселения учтены Основные направления налоговой политики Российской Федерации на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 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201</w:t>
      </w:r>
      <w:r w:rsidR="009E3D3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годов. Прогноз поступлений по налоговым платежам осуществлен с учетом положений действующего федерального, регионального налогового законодательства.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201</w:t>
      </w:r>
      <w:r w:rsidR="0098030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приоритет в местной налоговой политике – создание эффективной и стабильной налоговой системы, обеспечивающей бюджетную устойчивость в среднесрочной и долгосрочной перспективе, - будет сохранен.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Целями местной налоговой политики продолжат оставаться развитие и укрепление налогового потенциала муниципального образования при условии недопущения увеличения уровня налоговой нагрузки на экономику с учетом требований сбалансированности бюджетной системы.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Для достижения поставленных целей планируется следующее: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Сохранение и развитие  налогового потенциала на территории муниципального образования путем содействия развитию отраслей экономики, создания благоприятных условий для деятельности субъектов малого предпринимательства,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содействие развитию предпринимательской деятельности, в том числе оказание информационной и консультационной поддержки субъектам малого и среднего предпринимательства;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продолжение работы по постановке на кадастровый учет земельных участков под многоквартирными домами, определению правообладателей земельных участков и их долей;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предъявления земельного налога собственникам имущества в многоквартирных домах.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2.  Повышение эффективности управления муниципальной собственностью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образования,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инвентаризация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использования; 3.  Проведение работы по сокращению недоимки в местный бюджет, в том числе: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взаимодействие с налоговыми органами в части проведение мониторинга недоимки по налоговым платежам, зачисляемым в бюджет муниципального образования;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проведение мониторинга недоимки по арендной плате за муниципальное имущество  в местный бюджет, анализ причин и состояния задолженности арендаторов;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- проведение мониторинга недоимки по возмещению арендаторами муниципального имущества бюджету муниципального образования расходов за содержание и техническое обслуживание арендуем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муниципального имущества; 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3.2. Рынок товаров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услуг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прогнозном периоде развитие потребительского рынка поселения будет происходить под влиянием двух разнонаправленных тенденций, определяющих платежеспособный спрос населения: рост денежных доходов населения и увеличение численности населения.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Помимо этого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увеличению объемов потребительского рынка в прогнозном периоде будут способствовать улучшение экономической ситуации, замедление темпов инфляции.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Поддержку потребительскому спросу также будут оказывать восстановление и дальнейший рост доступности банковских кредитов, способствующие снижению у населения склонности к сбережению денежных средств. Рост объема кредитов создаст условия для сохранения тенденции изменения потребительских предпочтений в сторону промышленных товаров, в результате чего в структуре оборота розничной торговли их доля будет постепенно увеличиваться, а доля продовольственных товаров снижаться.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Продолжатся преобразования, направленные на совершенствование торговли и сферы услуг.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Товарная насыщенность потребительского рынка будет носить устойчивый характер.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3.5. Малое и среднее предпринимательство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 Изменение в количестве предприятий малого и среднего предпринимательства </w:t>
      </w:r>
      <w:r w:rsidR="00980306">
        <w:rPr>
          <w:rFonts w:ascii="Times New Roman" w:eastAsia="Times New Roman" w:hAnsi="Times New Roman"/>
          <w:sz w:val="24"/>
          <w:szCs w:val="24"/>
          <w:lang w:eastAsia="ru-RU"/>
        </w:rPr>
        <w:t>не прогнозируются.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3.6. Инвестиции в строительство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Прогноз инвестиционной деятельности и строительных работ учитывает: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реконструкция объектов социальной инфраструктуры; - реализацию мер, направленных на стимулирование жилищного строительства;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3.7. Труд и занятость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 Складывающиеся тенденции в экономике и демографической ситуации в поселении непосредственно скажутся на функционировании рынка труда. Сокращение трудового потенциала, обусловленное снижением численности населения в трудоспособном возрасте, по оценке, на 3 % потребует повышения уровня трудового участия лиц старше трудоспособного возраста.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 Демографическая ситуация (сокращение численности населения) обусловит негативную динамику численности занятых в экономике. Смягчить данную ситуацию позволят вероятное привлечение трудовых мигрантов и вовлечение в трудовую деятельность лиц старших возрастов.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  Уровень безработицы, незна</w:t>
      </w:r>
      <w:r w:rsidR="00980306">
        <w:rPr>
          <w:rFonts w:ascii="Times New Roman" w:eastAsia="Times New Roman" w:hAnsi="Times New Roman"/>
          <w:sz w:val="24"/>
          <w:szCs w:val="24"/>
          <w:lang w:eastAsia="ru-RU"/>
        </w:rPr>
        <w:t>чительно, но будет уменьшаться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201</w:t>
      </w:r>
      <w:r w:rsidR="0098030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>3.8. Развитие социальной сферы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Здравоохранение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 сфере здравоохранения прогнозируется увеличение объема амбулаторной помощи и усиление мер по профилактике заболеваний.      В прогнозном периоде численность среднего медицинского персонала не изменится и останется на уровне 201</w:t>
      </w:r>
      <w:r w:rsidR="009803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специалистов.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Образование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 В 201</w:t>
      </w:r>
      <w:r w:rsidR="0098030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на фоне увеличения  численности детей дошкольного возраста, обусловленной увеличением  рождаемости в предыдущие годы, будет наблюдаться востребованность в наличии свободных мест в  дошкольном учреждении. Численность детей в дошкольном образовательном учреждении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803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детей. За счет увеличения числа обучающихся в итоге в 201</w:t>
      </w:r>
      <w:r w:rsidR="009803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численность учащихся составит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Культура и искусство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 </w:t>
      </w:r>
      <w:proofErr w:type="gramStart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прогнозируемом периоде основными приоритетами культурной политики по-прежнему останутся обеспечение единства культурного пространства и доступности культурных ценностей широким слоям населения, сохранение культурного наследия и развитие культурного потенциала поселения.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 В 201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планируется дальнейшая модернизация бюджетного сектора экономики, предусматривающая в том числе оптимизацию сети учреждений культуры.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В итоге на фоне прогнозируемого увеличения численности постоянно проживающего населения показатель обеспеченности учреждениями культурно-досугового типа сохранится на уровне 201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показатель обеспеченности библиотеками в 201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 сравнению с 201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 останется без изменений. 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Социальная защита населения</w:t>
      </w:r>
      <w:r w:rsidRPr="00B44AEE">
        <w:rPr>
          <w:rFonts w:ascii="Times New Roman" w:eastAsia="Times New Roman" w:hAnsi="Times New Roman"/>
          <w:sz w:val="24"/>
          <w:szCs w:val="24"/>
          <w:lang w:eastAsia="ru-RU"/>
        </w:rPr>
        <w:br/>
        <w:t>      Изменений  в сфере социальной защи</w:t>
      </w:r>
      <w:r w:rsidR="007D07FF">
        <w:rPr>
          <w:rFonts w:ascii="Times New Roman" w:eastAsia="Times New Roman" w:hAnsi="Times New Roman"/>
          <w:sz w:val="24"/>
          <w:szCs w:val="24"/>
          <w:lang w:eastAsia="ru-RU"/>
        </w:rPr>
        <w:t>ты населения не прогнозируется.</w:t>
      </w:r>
    </w:p>
    <w:p w:rsidR="00440F19" w:rsidRDefault="00440F19"/>
    <w:sectPr w:rsidR="00440F19" w:rsidSect="009D2E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0A"/>
    <w:rsid w:val="003D0FF8"/>
    <w:rsid w:val="003D4EC5"/>
    <w:rsid w:val="003E3E50"/>
    <w:rsid w:val="00440F19"/>
    <w:rsid w:val="007B7287"/>
    <w:rsid w:val="007D07FF"/>
    <w:rsid w:val="00980306"/>
    <w:rsid w:val="00982518"/>
    <w:rsid w:val="009E3D33"/>
    <w:rsid w:val="00DA3AB5"/>
    <w:rsid w:val="00E8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029A-3001-45F5-9D26-546596C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2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2016-10-27T04:34:00Z</cp:lastPrinted>
  <dcterms:created xsi:type="dcterms:W3CDTF">2016-10-19T04:00:00Z</dcterms:created>
  <dcterms:modified xsi:type="dcterms:W3CDTF">2016-10-27T04:35:00Z</dcterms:modified>
</cp:coreProperties>
</file>