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E" w:rsidRPr="00512F15" w:rsidRDefault="008C79AE" w:rsidP="008C79AE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530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6 </w:t>
      </w:r>
      <w:r>
        <w:rPr>
          <w:rFonts w:ascii="Bookman Old Style" w:hAnsi="Bookman Old Style"/>
          <w:b/>
        </w:rPr>
        <w:t>ноября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8C79AE" w:rsidRDefault="008C79AE" w:rsidP="008C79A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9AE" w:rsidRDefault="008C79AE" w:rsidP="008C79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C79A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8C79AE" w:rsidRDefault="008C79AE" w:rsidP="008C79A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C79A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9AE" w:rsidRPr="008C79AE" w:rsidRDefault="008C79AE" w:rsidP="008C79AE">
      <w:pPr>
        <w:spacing w:after="0"/>
        <w:jc w:val="center"/>
        <w:rPr>
          <w:rFonts w:ascii="Times New Roman" w:hAnsi="Times New Roman"/>
          <w:b/>
        </w:rPr>
      </w:pPr>
      <w:r w:rsidRPr="008C79AE">
        <w:rPr>
          <w:rFonts w:ascii="Times New Roman" w:hAnsi="Times New Roman"/>
          <w:b/>
        </w:rPr>
        <w:t>Официальное издание органов местного самоуправления</w:t>
      </w:r>
    </w:p>
    <w:p w:rsidR="008C79AE" w:rsidRPr="008C79AE" w:rsidRDefault="008C79AE" w:rsidP="008C79AE">
      <w:pPr>
        <w:spacing w:after="0"/>
        <w:jc w:val="center"/>
        <w:rPr>
          <w:rFonts w:ascii="Times New Roman" w:hAnsi="Times New Roman"/>
          <w:b/>
        </w:rPr>
      </w:pPr>
      <w:r w:rsidRPr="008C79AE">
        <w:rPr>
          <w:rFonts w:ascii="Times New Roman" w:hAnsi="Times New Roman"/>
          <w:b/>
        </w:rPr>
        <w:t>Шапкинского сельсовета</w:t>
      </w:r>
    </w:p>
    <w:p w:rsidR="008C79AE" w:rsidRPr="008C79AE" w:rsidRDefault="008C79AE" w:rsidP="008C79AE">
      <w:pPr>
        <w:jc w:val="center"/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0D1D4" wp14:editId="6E8E736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697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F0C63" wp14:editId="12BB3278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AE" w:rsidRPr="008C79AE" w:rsidRDefault="008C79AE" w:rsidP="008C79AE">
      <w:pPr>
        <w:jc w:val="center"/>
      </w:pPr>
    </w:p>
    <w:p w:rsidR="008C79AE" w:rsidRPr="009D2E9D" w:rsidRDefault="008C79AE" w:rsidP="008C7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9AE" w:rsidRPr="0080689B" w:rsidRDefault="008C79AE" w:rsidP="008C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89B">
        <w:rPr>
          <w:rFonts w:ascii="Times New Roman" w:hAnsi="Times New Roman"/>
          <w:b/>
          <w:sz w:val="28"/>
          <w:szCs w:val="28"/>
        </w:rPr>
        <w:t>Администрация Шапкинского сельсовета</w:t>
      </w:r>
    </w:p>
    <w:p w:rsidR="008C79AE" w:rsidRPr="0080689B" w:rsidRDefault="008C79AE" w:rsidP="008C7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Енисейского района</w:t>
      </w:r>
    </w:p>
    <w:p w:rsidR="008C79AE" w:rsidRPr="0080689B" w:rsidRDefault="008C79AE" w:rsidP="008C79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Красноярского края</w:t>
      </w:r>
    </w:p>
    <w:p w:rsidR="008C79AE" w:rsidRPr="009D2E9D" w:rsidRDefault="008C79AE" w:rsidP="008C79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9AE" w:rsidRPr="009D2E9D" w:rsidRDefault="008C79AE" w:rsidP="008C79AE">
      <w:pPr>
        <w:jc w:val="center"/>
        <w:rPr>
          <w:rFonts w:ascii="Times New Roman" w:hAnsi="Times New Roman"/>
          <w:b/>
          <w:sz w:val="24"/>
          <w:szCs w:val="24"/>
        </w:rPr>
      </w:pPr>
      <w:r w:rsidRPr="009D2E9D">
        <w:rPr>
          <w:rFonts w:ascii="Times New Roman" w:hAnsi="Times New Roman"/>
          <w:b/>
          <w:sz w:val="24"/>
          <w:szCs w:val="24"/>
        </w:rPr>
        <w:t>ПОСТАНОВЛЕНИЕ</w:t>
      </w:r>
    </w:p>
    <w:p w:rsidR="008C79AE" w:rsidRPr="009D2E9D" w:rsidRDefault="008C79AE" w:rsidP="008C79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9AE" w:rsidRPr="009D2E9D" w:rsidRDefault="008C79AE" w:rsidP="008C7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9D2E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D2E9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D2E9D">
        <w:rPr>
          <w:rFonts w:ascii="Times New Roman" w:hAnsi="Times New Roman"/>
          <w:sz w:val="28"/>
          <w:szCs w:val="28"/>
        </w:rPr>
        <w:t xml:space="preserve">г.        </w:t>
      </w:r>
      <w:r w:rsidRPr="009D2E9D">
        <w:rPr>
          <w:rFonts w:ascii="Times New Roman" w:hAnsi="Times New Roman"/>
          <w:sz w:val="28"/>
          <w:szCs w:val="28"/>
        </w:rPr>
        <w:tab/>
      </w:r>
      <w:r w:rsidRPr="009D2E9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2E9D">
        <w:rPr>
          <w:rFonts w:ascii="Times New Roman" w:hAnsi="Times New Roman"/>
          <w:sz w:val="28"/>
          <w:szCs w:val="28"/>
        </w:rPr>
        <w:t xml:space="preserve">  п. Ш</w:t>
      </w:r>
      <w:r>
        <w:rPr>
          <w:rFonts w:ascii="Times New Roman" w:hAnsi="Times New Roman"/>
          <w:sz w:val="28"/>
          <w:szCs w:val="28"/>
        </w:rPr>
        <w:t xml:space="preserve">апкино                  </w:t>
      </w:r>
      <w:r w:rsidRPr="009D2E9D">
        <w:rPr>
          <w:rFonts w:ascii="Times New Roman" w:hAnsi="Times New Roman"/>
          <w:sz w:val="28"/>
          <w:szCs w:val="28"/>
        </w:rPr>
        <w:t xml:space="preserve">              </w:t>
      </w:r>
      <w:r w:rsidRPr="009D2E9D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26</w:t>
      </w:r>
      <w:r w:rsidRPr="009D2E9D">
        <w:rPr>
          <w:rFonts w:ascii="Times New Roman" w:hAnsi="Times New Roman"/>
          <w:sz w:val="28"/>
          <w:szCs w:val="28"/>
        </w:rPr>
        <w:t>-п</w:t>
      </w:r>
    </w:p>
    <w:p w:rsidR="008C79AE" w:rsidRPr="008C79AE" w:rsidRDefault="008C79AE" w:rsidP="008C79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предварительных (ожидаемых) итогах </w:t>
      </w:r>
    </w:p>
    <w:p w:rsidR="008C79AE" w:rsidRPr="008C79AE" w:rsidRDefault="008C79AE" w:rsidP="008C79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Социально-экономического развития за 2015 год </w:t>
      </w:r>
    </w:p>
    <w:p w:rsidR="008C79AE" w:rsidRPr="008C79AE" w:rsidRDefault="008C79AE" w:rsidP="008C79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прогнозе социально-экономического развития на 2016</w:t>
      </w:r>
    </w:p>
    <w:p w:rsidR="008C79AE" w:rsidRPr="008C79AE" w:rsidRDefault="008C79AE" w:rsidP="008C79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8C7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Шапкинский сельсовет.</w:t>
      </w:r>
    </w:p>
    <w:p w:rsidR="008C79AE" w:rsidRPr="008C79AE" w:rsidRDefault="008C79AE" w:rsidP="008C7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8C79AE" w:rsidRPr="008C79AE" w:rsidRDefault="008C79AE" w:rsidP="008C7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            ПОСТАНОВЛЯЮ: </w:t>
      </w:r>
    </w:p>
    <w:p w:rsidR="008C79AE" w:rsidRPr="008C79AE" w:rsidRDefault="008C79AE" w:rsidP="008C7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1. Утвердить предварительные</w:t>
      </w:r>
      <w:r w:rsidRPr="008C79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2015 год и прогноз социально-экономического развития на 2016 муниципального образования муниципального образования Шапкинский сельсовет.</w:t>
      </w:r>
    </w:p>
    <w:p w:rsidR="008C79AE" w:rsidRPr="008C79AE" w:rsidRDefault="008C79AE" w:rsidP="008C7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8C79AE" w:rsidRPr="008C79AE" w:rsidRDefault="008C79AE" w:rsidP="008C7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C79AE" w:rsidRPr="008C79A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9AE" w:rsidRPr="008C79A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 xml:space="preserve"> Глава Шапкинского сельсовета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</w:t>
      </w:r>
      <w:proofErr w:type="spellStart"/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Загитова</w:t>
      </w:r>
      <w:proofErr w:type="spellEnd"/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C79AE" w:rsidRPr="00B44AEE" w:rsidRDefault="008C79AE" w:rsidP="008C79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9AE" w:rsidRDefault="008C79AE" w:rsidP="008C7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9AE" w:rsidRDefault="008C79AE" w:rsidP="008C7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9AE" w:rsidRPr="00B44AEE" w:rsidRDefault="008C79AE" w:rsidP="008C79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8C79AE" w:rsidRPr="00B44AEE" w:rsidRDefault="008C79AE" w:rsidP="008C79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Шапкинский сельсовет</w:t>
      </w:r>
    </w:p>
    <w:p w:rsidR="008C79AE" w:rsidRPr="00B44AEE" w:rsidRDefault="008C79AE" w:rsidP="008C79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26-п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 социально-экономического развития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B44AEE"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2.1. Демографические показатели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2.2. Доходы населения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2.3. Производство товаров и услуг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2.4. Рынок товаров и услуг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Малое и среднее предпринимательство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2.6. Инвестиции в строительство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Труд и занятость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2.8. Развитие социальной сферы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3.1. Демографические показатели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Налоговые условия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3.3. Производство товаров и услуг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3.4. Рынок товаров и услуг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3.5. Малое и среднее предпринимательство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3.6. Инвестиции в строительство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3.7. Труд и занятость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Предполагаемые точки экономического развития муниципального образования Шапкинский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ближайшую перспективу.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8C79AE" w:rsidRPr="00B44AEE" w:rsidTr="00FB312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  районного</w:t>
            </w:r>
            <w:proofErr w:type="gramEnd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8C79AE" w:rsidRPr="00B44AEE" w:rsidTr="00FB312B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8C79AE" w:rsidRPr="00B44AEE" w:rsidRDefault="008C79AE" w:rsidP="00FB3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Общие показатели</w:t>
      </w: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79AE" w:rsidRPr="00B44AEE" w:rsidRDefault="008C79AE" w:rsidP="008C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8C79AE" w:rsidRPr="00B44AEE" w:rsidTr="00FB312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8C79AE" w:rsidRPr="00B44AEE" w:rsidTr="00FB312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9AE" w:rsidRPr="00B44AEE" w:rsidTr="00FB312B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AE" w:rsidRPr="00B44AEE" w:rsidRDefault="008C79AE" w:rsidP="00FB3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составляет </w:t>
      </w: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1025 ч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ел.</w:t>
      </w:r>
    </w:p>
    <w:p w:rsidR="008C79A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предварительной оценке среднегодовая численность населения сельского поселения </w:t>
      </w: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 1025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человек и сократится по отношению к уровню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в том числе за счет миграционного оттока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,3 %, за счет естественной убыли - 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%, уточнения статистических данных по переписи населения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,3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сохраняются сложившиеся тенденции к сокращению численности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2.2. Доходы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 влиянием неоднократного повышения оплаты труда работников бюджетного сектора экономики во второй половине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 росте заработной платы в отраслях, на которые приходится основная доля среднесписочной численности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поселения (от 8 % до 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0 %), денежные доходы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превысят уровень предыдущего года на 4,4 %.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 учётом запланированного повышения фондов оплаты труда в бюджетном секторе экономики (с 1 октября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%)  прогнозируется рост заработной платы на 10 %.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душу населения до15427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Величина прожиточного минимума пенсионера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296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рублей.  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2.3. Производство товаров и услуг.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По прогнозным данным объем отгруженных товаров собственного производства, выполненных работ, услуг собственными силами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останется на том же уровне что 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 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2.4. Рынок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предварительным данным, физические объемы платных услуг населению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складываются практически на уровне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целом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физические объемы платных услуг населению ожидаются выше уровня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1,2 %. 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прогнозным данным будут действовать 18 малых предприятий,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заработную плату, необходимостью выплат компенсационного характера, связанных с условиями работы в районах Крайнего Севера.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2014 году.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2.5.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2.6.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 трудоспособного возраста по предварительным данным в 2015 году составит 457 чел.  Ежегодно их число сокращается в результате старения населения,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В экономике по оценочным данным заняты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 555 чел.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прогнозным данным их число составит 530 чел.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уменьшился по сравнению с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и составит 45.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2.7.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Здравоохранение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Шапкинская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Одновременно с этим в сфере здравоохранения наблюдается рост показателей посещений амбулаторно-поликлинических учреждений.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</w:t>
      </w:r>
      <w:r w:rsidRPr="008C79AE">
        <w:rPr>
          <w:rFonts w:ascii="Times New Roman" w:eastAsia="Times New Roman" w:hAnsi="Times New Roman"/>
          <w:sz w:val="24"/>
          <w:szCs w:val="24"/>
          <w:lang w:eastAsia="ru-RU"/>
        </w:rPr>
        <w:t>в ФАП обратятся - 7800 человек</w:t>
      </w:r>
      <w:r w:rsidRPr="009037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Обеспеченность средним медицинским персоналом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останется на уровне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Образование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На территории поселения функционирует 1 средняя общеобразовательная школа и 1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дошкольное учреждение.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детей дошкольного возраста по прогнозным данным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8 человек, школьного возраста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С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величением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детей дошкольного возраста, в результате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рождаемости, прогнозируется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детей, посещающих ДОУ и количество мест в детских садах.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составит 35 специалистов.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территории Шапкинский сельсовет  функционирует  муниципальное бюджетной учреждение культуру «Центр культуры» 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2014 года. Количество потребителей, в предоставлении муниципальной услуги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библиотеке составляет </w:t>
      </w:r>
      <w:r w:rsidRPr="003D1BF1">
        <w:rPr>
          <w:rFonts w:ascii="Times New Roman" w:eastAsia="Times New Roman" w:hAnsi="Times New Roman"/>
          <w:sz w:val="24"/>
          <w:szCs w:val="24"/>
          <w:lang w:eastAsia="ru-RU"/>
        </w:rPr>
        <w:t>18500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книговыдачи. В   МБУК «Центр культуры» в организации досуга населения: в предоставлении муниципальной услуги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составляет 10115. </w:t>
      </w:r>
    </w:p>
    <w:p w:rsidR="008C79A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Численность пенсионеров, состоящих на учете в ПФ 373 человека и к концу 2014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году .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Второй (умеренно оптимистичный) вариант предлагается в качестве основного для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разработки прогноза социально-экономического развития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проекта местного бюджета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прогнозируется уменьшение численности на 2% что составит 1004 человека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3.2. Налоговые условия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 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Производство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        По прогнозным данным объем отгруженных товаров собственного производства, выполненных работ, услуг собственными силами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останется без изменения.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3.2. Рынок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Помимо этого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Изменение в количестве предприятий малого и среднего предпринимательства прогнозируются. Планируется открытие хлебопекарни.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3.6.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3.7.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Уровень безработицы, незначительно, но будет увеличиваться 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Здравоохранение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2015 года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специалистов.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За счет увеличения числа обучающихся в итоге в 2015 году численность учащихся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показатель обеспеченности библиотеками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сравнению с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останется без изменений.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Изменений  в сфере социальной защиты населения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Предполагаемые точки экономического развития муниципального образования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Зареченск на ближайшую перспективу.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4.1.    Открытие хлебопекарни в п.  Шапкино.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      Цель - обеспечение населения хлебобулочными изделия хорошего качества по доступным ценам. В настоящее время в муниципальном образовании хлеб привозной, что увеличивает его стоимость за счет транспортного плеча, с созданием предприятия стоимость хлеба уменьшится. Кроме того, предприятие способствовало бы обеспечению занятости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4.2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малого фермерства.</w:t>
      </w:r>
    </w:p>
    <w:p w:rsidR="008C79AE" w:rsidRPr="00B44AEE" w:rsidRDefault="008C79AE" w:rsidP="008C79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4.3. Лесная и деревообрабатывающая промышленность.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Сдерживающим фактором развития деревообрабатывающей и лесной промышленности является отдаленное от проезжих дорог расположение делянок. Кроме того, у предприятий и предпринимателей отсутствуют свободные инвестиции в развитие лесных дорог (инфраструктуру).</w:t>
      </w:r>
    </w:p>
    <w:p w:rsidR="008C79AE" w:rsidRPr="00B44AEE" w:rsidRDefault="008C79AE" w:rsidP="008C79AE">
      <w:pPr>
        <w:rPr>
          <w:rFonts w:ascii="Times New Roman" w:hAnsi="Times New Roman"/>
          <w:sz w:val="24"/>
          <w:szCs w:val="24"/>
        </w:rPr>
      </w:pPr>
    </w:p>
    <w:p w:rsidR="008C79AE" w:rsidRDefault="008C79AE" w:rsidP="008C79AE"/>
    <w:p w:rsidR="008C79AE" w:rsidRDefault="008C79AE" w:rsidP="008C79AE"/>
    <w:p w:rsidR="008C79AE" w:rsidRDefault="008C79AE" w:rsidP="008C79AE"/>
    <w:p w:rsidR="008C79AE" w:rsidRDefault="008C79AE" w:rsidP="008C79AE"/>
    <w:p w:rsidR="008C79AE" w:rsidRDefault="008C79AE" w:rsidP="008C79AE"/>
    <w:p w:rsidR="008C79AE" w:rsidRPr="008C79AE" w:rsidRDefault="008C79AE" w:rsidP="008C79AE">
      <w:pPr>
        <w:spacing w:after="0" w:line="240" w:lineRule="auto"/>
      </w:pPr>
    </w:p>
    <w:p w:rsidR="008C79AE" w:rsidRPr="008C79AE" w:rsidRDefault="008C79AE" w:rsidP="008C79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9AE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03B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C79AE" w:rsidRPr="008C79AE" w:rsidRDefault="008C79AE" w:rsidP="008C79AE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C79A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C79AE" w:rsidRPr="008C79AE" w:rsidRDefault="008C79AE" w:rsidP="008C79AE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C79AE">
        <w:rPr>
          <w:rFonts w:ascii="Times New Roman" w:eastAsia="Times New Roman" w:hAnsi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8C79AE" w:rsidRPr="008C79AE" w:rsidRDefault="008C79AE" w:rsidP="008C7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9AE" w:rsidRPr="008C79AE" w:rsidRDefault="008C79AE" w:rsidP="008C7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CA4" w:rsidRDefault="004B3CA4"/>
    <w:sectPr w:rsidR="004B3CA4" w:rsidSect="009D2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6"/>
    <w:rsid w:val="001A3AA6"/>
    <w:rsid w:val="004B3CA4"/>
    <w:rsid w:val="008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3AFD-B9B1-4808-AB3C-BAD3296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8C79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8C79A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3232</Words>
  <Characters>18429</Characters>
  <Application>Microsoft Office Word</Application>
  <DocSecurity>0</DocSecurity>
  <Lines>153</Lines>
  <Paragraphs>43</Paragraphs>
  <ScaleCrop>false</ScaleCrop>
  <Company/>
  <LinksUpToDate>false</LinksUpToDate>
  <CharactersWithSpaces>21618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2015-11-17T02:35:00Z</dcterms:created>
  <dcterms:modified xsi:type="dcterms:W3CDTF">2015-11-17T02:40:00Z</dcterms:modified>
</cp:coreProperties>
</file>